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742" w:rsidRDefault="00C47742" w:rsidP="00A04E84">
      <w:pPr>
        <w:spacing w:after="0" w:line="240" w:lineRule="auto"/>
        <w:rPr>
          <w:rFonts w:ascii="Times New Roman" w:eastAsia="Times New Roman" w:hAnsi="Times New Roman" w:cs="Times New Roman"/>
          <w:b/>
          <w:sz w:val="30"/>
          <w:szCs w:val="30"/>
          <w:lang w:eastAsia="en-AU"/>
        </w:rPr>
      </w:pPr>
      <w:r>
        <w:rPr>
          <w:rFonts w:ascii="Times New Roman" w:eastAsia="Times New Roman" w:hAnsi="Times New Roman" w:cs="Times New Roman"/>
          <w:b/>
          <w:sz w:val="30"/>
          <w:szCs w:val="30"/>
          <w:lang w:eastAsia="en-AU"/>
        </w:rPr>
        <w:t>CHAPTER 2</w:t>
      </w:r>
    </w:p>
    <w:p w:rsidR="00C47742" w:rsidRDefault="00C47742" w:rsidP="00A04E84">
      <w:pPr>
        <w:spacing w:after="0" w:line="240" w:lineRule="auto"/>
        <w:rPr>
          <w:rFonts w:ascii="Times New Roman" w:eastAsia="Times New Roman" w:hAnsi="Times New Roman" w:cs="Times New Roman"/>
          <w:b/>
          <w:sz w:val="30"/>
          <w:szCs w:val="30"/>
          <w:lang w:eastAsia="en-AU"/>
        </w:rPr>
      </w:pPr>
    </w:p>
    <w:p w:rsidR="00A04E84" w:rsidRPr="00A04E84" w:rsidRDefault="00A04E84" w:rsidP="00A04E84">
      <w:pPr>
        <w:spacing w:after="0" w:line="240" w:lineRule="auto"/>
        <w:rPr>
          <w:rFonts w:ascii="Times New Roman" w:eastAsia="Times New Roman" w:hAnsi="Times New Roman" w:cs="Times New Roman"/>
          <w:b/>
          <w:sz w:val="30"/>
          <w:szCs w:val="30"/>
          <w:lang w:eastAsia="en-AU"/>
        </w:rPr>
      </w:pPr>
      <w:r w:rsidRPr="00A04E84">
        <w:rPr>
          <w:rFonts w:ascii="Times New Roman" w:eastAsia="Times New Roman" w:hAnsi="Times New Roman" w:cs="Times New Roman"/>
          <w:b/>
          <w:sz w:val="30"/>
          <w:szCs w:val="30"/>
          <w:lang w:eastAsia="en-AU"/>
        </w:rPr>
        <w:t xml:space="preserve">SEX DETERMINATION, BRAIN SEX AND SEXUAL BEHAVIOUR </w:t>
      </w:r>
    </w:p>
    <w:p w:rsidR="00A04E84" w:rsidRPr="00A04E84" w:rsidRDefault="00A04E84" w:rsidP="00A04E84">
      <w:pPr>
        <w:spacing w:after="0" w:line="240" w:lineRule="auto"/>
        <w:rPr>
          <w:rFonts w:ascii="Times New Roman" w:eastAsia="Times New Roman" w:hAnsi="Times New Roman" w:cs="Times New Roman"/>
          <w:sz w:val="30"/>
          <w:szCs w:val="30"/>
          <w:lang w:eastAsia="en-AU"/>
        </w:rPr>
      </w:pPr>
      <w:r w:rsidRPr="00A04E84">
        <w:rPr>
          <w:rFonts w:ascii="Times New Roman" w:eastAsia="Times New Roman" w:hAnsi="Times New Roman" w:cs="Times New Roman"/>
          <w:sz w:val="30"/>
          <w:szCs w:val="30"/>
          <w:lang w:eastAsia="en-AU"/>
        </w:rPr>
        <w:t xml:space="preserve"> </w:t>
      </w:r>
    </w:p>
    <w:p w:rsidR="00A04E84" w:rsidRPr="00A04E84" w:rsidRDefault="00A04E84" w:rsidP="00A04E84">
      <w:pPr>
        <w:spacing w:after="0" w:line="240" w:lineRule="auto"/>
        <w:rPr>
          <w:rFonts w:ascii="Times New Roman" w:eastAsia="Times New Roman" w:hAnsi="Times New Roman" w:cs="Times New Roman"/>
          <w:sz w:val="30"/>
          <w:szCs w:val="30"/>
          <w:lang w:eastAsia="en-AU"/>
        </w:rPr>
      </w:pPr>
      <w:r w:rsidRPr="00A04E84">
        <w:rPr>
          <w:rFonts w:ascii="Times New Roman" w:eastAsia="Times New Roman" w:hAnsi="Times New Roman" w:cs="Times New Roman"/>
          <w:sz w:val="30"/>
          <w:szCs w:val="30"/>
          <w:lang w:eastAsia="en-AU"/>
        </w:rPr>
        <w:t xml:space="preserve">Sex Determination </w:t>
      </w:r>
    </w:p>
    <w:p w:rsidR="00A04E84" w:rsidRPr="00A04E84" w:rsidRDefault="00A04E84" w:rsidP="00A04E84">
      <w:pPr>
        <w:spacing w:after="0" w:line="240" w:lineRule="auto"/>
        <w:rPr>
          <w:rFonts w:ascii="Times New Roman" w:eastAsia="Times New Roman" w:hAnsi="Times New Roman" w:cs="Times New Roman"/>
          <w:sz w:val="30"/>
          <w:szCs w:val="30"/>
          <w:lang w:eastAsia="en-AU"/>
        </w:rPr>
      </w:pPr>
      <w:r w:rsidRPr="00A04E84">
        <w:rPr>
          <w:rFonts w:ascii="Times New Roman" w:eastAsia="Times New Roman" w:hAnsi="Times New Roman" w:cs="Times New Roman"/>
          <w:sz w:val="30"/>
          <w:szCs w:val="30"/>
          <w:lang w:eastAsia="en-AU"/>
        </w:rPr>
        <w:t xml:space="preserve">Errors of Sexual Differentiation </w:t>
      </w:r>
    </w:p>
    <w:p w:rsidR="00A04E84" w:rsidRPr="00A04E84" w:rsidRDefault="00A04E84" w:rsidP="00A04E84">
      <w:pPr>
        <w:spacing w:after="0" w:line="240" w:lineRule="auto"/>
        <w:rPr>
          <w:rFonts w:ascii="Times New Roman" w:eastAsia="Times New Roman" w:hAnsi="Times New Roman" w:cs="Times New Roman"/>
          <w:sz w:val="30"/>
          <w:szCs w:val="30"/>
          <w:lang w:eastAsia="en-AU"/>
        </w:rPr>
      </w:pPr>
      <w:r w:rsidRPr="00A04E84">
        <w:rPr>
          <w:rFonts w:ascii="Times New Roman" w:eastAsia="Times New Roman" w:hAnsi="Times New Roman" w:cs="Times New Roman"/>
          <w:sz w:val="30"/>
          <w:szCs w:val="30"/>
          <w:lang w:eastAsia="en-AU"/>
        </w:rPr>
        <w:t xml:space="preserve">Brain Sex Determination </w:t>
      </w:r>
    </w:p>
    <w:p w:rsidR="00A04E84" w:rsidRPr="00A04E84" w:rsidRDefault="00A04E84" w:rsidP="00A04E84">
      <w:pPr>
        <w:spacing w:after="0" w:line="240" w:lineRule="auto"/>
        <w:rPr>
          <w:rFonts w:ascii="Times New Roman" w:eastAsia="Times New Roman" w:hAnsi="Times New Roman" w:cs="Times New Roman"/>
          <w:sz w:val="30"/>
          <w:szCs w:val="30"/>
          <w:lang w:eastAsia="en-AU"/>
        </w:rPr>
      </w:pPr>
      <w:r w:rsidRPr="00A04E84">
        <w:rPr>
          <w:rFonts w:ascii="Times New Roman" w:eastAsia="Times New Roman" w:hAnsi="Times New Roman" w:cs="Times New Roman"/>
          <w:sz w:val="30"/>
          <w:szCs w:val="30"/>
          <w:lang w:eastAsia="en-AU"/>
        </w:rPr>
        <w:t xml:space="preserve">The Socialization of Human Sexuality  </w:t>
      </w:r>
    </w:p>
    <w:p w:rsidR="00A04E84" w:rsidRPr="00A04E84" w:rsidRDefault="00A04E84" w:rsidP="00A04E84">
      <w:pPr>
        <w:spacing w:after="0" w:line="240" w:lineRule="auto"/>
        <w:rPr>
          <w:rFonts w:ascii="Times New Roman" w:eastAsia="Times New Roman" w:hAnsi="Times New Roman" w:cs="Times New Roman"/>
          <w:sz w:val="30"/>
          <w:szCs w:val="30"/>
          <w:lang w:eastAsia="en-AU"/>
        </w:rPr>
      </w:pPr>
      <w:r w:rsidRPr="00A04E84">
        <w:rPr>
          <w:rFonts w:ascii="Times New Roman" w:eastAsia="Times New Roman" w:hAnsi="Times New Roman" w:cs="Times New Roman"/>
          <w:sz w:val="30"/>
          <w:szCs w:val="30"/>
          <w:lang w:eastAsia="en-AU"/>
        </w:rPr>
        <w:t xml:space="preserve">Sexual Orientation  </w:t>
      </w:r>
    </w:p>
    <w:p w:rsidR="00A04E84" w:rsidRPr="00A04E84" w:rsidRDefault="00A04E84" w:rsidP="00A04E84">
      <w:pPr>
        <w:spacing w:after="0" w:line="240" w:lineRule="auto"/>
        <w:rPr>
          <w:rFonts w:ascii="Times New Roman" w:eastAsia="Times New Roman" w:hAnsi="Times New Roman" w:cs="Times New Roman"/>
          <w:sz w:val="30"/>
          <w:szCs w:val="30"/>
          <w:lang w:eastAsia="en-AU"/>
        </w:rPr>
      </w:pPr>
      <w:r w:rsidRPr="00A04E84">
        <w:rPr>
          <w:rFonts w:ascii="Times New Roman" w:eastAsia="Times New Roman" w:hAnsi="Times New Roman" w:cs="Times New Roman"/>
          <w:sz w:val="30"/>
          <w:szCs w:val="30"/>
          <w:lang w:eastAsia="en-AU"/>
        </w:rPr>
        <w:t xml:space="preserve">Transgender and Gender Recognition  </w:t>
      </w:r>
    </w:p>
    <w:p w:rsidR="00A04E84" w:rsidRDefault="00A04E84" w:rsidP="00A04E84">
      <w:pPr>
        <w:spacing w:after="0" w:line="240" w:lineRule="auto"/>
        <w:rPr>
          <w:rFonts w:ascii="Times New Roman" w:eastAsia="Times New Roman" w:hAnsi="Times New Roman" w:cs="Times New Roman"/>
          <w:sz w:val="30"/>
          <w:szCs w:val="30"/>
          <w:lang w:eastAsia="en-AU"/>
        </w:rPr>
      </w:pPr>
      <w:r w:rsidRPr="00A04E84">
        <w:rPr>
          <w:rFonts w:ascii="Times New Roman" w:eastAsia="Times New Roman" w:hAnsi="Times New Roman" w:cs="Times New Roman"/>
          <w:sz w:val="30"/>
          <w:szCs w:val="30"/>
          <w:lang w:eastAsia="en-AU"/>
        </w:rPr>
        <w:t xml:space="preserve">Principles of Bioscience Ethics for Discussion </w:t>
      </w:r>
    </w:p>
    <w:p w:rsidR="00454D68" w:rsidRDefault="00454D68" w:rsidP="00A04E84">
      <w:pPr>
        <w:spacing w:after="0" w:line="240" w:lineRule="auto"/>
        <w:rPr>
          <w:rFonts w:ascii="Times New Roman" w:eastAsia="Times New Roman" w:hAnsi="Times New Roman" w:cs="Times New Roman"/>
          <w:sz w:val="30"/>
          <w:szCs w:val="30"/>
          <w:lang w:eastAsia="en-AU"/>
        </w:rPr>
      </w:pPr>
    </w:p>
    <w:p w:rsidR="00454D68" w:rsidRPr="00483BD9" w:rsidRDefault="00454D68" w:rsidP="00454D68">
      <w:pPr>
        <w:widowControl w:val="0"/>
        <w:autoSpaceDE w:val="0"/>
        <w:autoSpaceDN w:val="0"/>
        <w:adjustRightInd w:val="0"/>
        <w:rPr>
          <w:rFonts w:ascii="Times New Roman" w:hAnsi="Times New Roman" w:cs="Times New Roman"/>
          <w:b/>
          <w:i/>
          <w:sz w:val="28"/>
          <w:szCs w:val="28"/>
        </w:rPr>
      </w:pPr>
      <w:r w:rsidRPr="00483BD9">
        <w:rPr>
          <w:rFonts w:ascii="Times New Roman" w:hAnsi="Times New Roman" w:cs="Times New Roman"/>
          <w:b/>
          <w:i/>
          <w:sz w:val="28"/>
          <w:szCs w:val="28"/>
        </w:rPr>
        <w:t xml:space="preserve">Brain sex determination </w:t>
      </w:r>
    </w:p>
    <w:p w:rsidR="00454D68" w:rsidRPr="00AE2A25" w:rsidRDefault="00454D68" w:rsidP="00454D68">
      <w:pPr>
        <w:widowControl w:val="0"/>
        <w:autoSpaceDE w:val="0"/>
        <w:autoSpaceDN w:val="0"/>
        <w:adjustRightInd w:val="0"/>
        <w:rPr>
          <w:rFonts w:ascii="Times New Roman" w:hAnsi="Times New Roman" w:cs="Times New Roman"/>
          <w:sz w:val="24"/>
          <w:szCs w:val="24"/>
        </w:rPr>
      </w:pP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The brain is also a sexually differentiated organ. In the female the cyclical pattern of pituitary gonadotropins LH and FSH secretion control the normal ovulatory or menstrual cycle. In the male, on the other hand,</w:t>
      </w:r>
      <w:bookmarkStart w:id="0" w:name="_GoBack"/>
      <w:bookmarkEnd w:id="0"/>
      <w:r w:rsidRPr="00AE2A25">
        <w:rPr>
          <w:rFonts w:ascii="Times New Roman" w:hAnsi="Times New Roman" w:cs="Times New Roman"/>
          <w:sz w:val="24"/>
          <w:szCs w:val="24"/>
        </w:rPr>
        <w:t xml:space="preserve"> maintenance of spermatogenesis is not cyclical and depends upon a steady secretion of pituitary gonadotropins that drive testosterone synthesis. The hypothalamus of both sexes evolves toward the female cyclic secretion of gonadotropins unless the endocrine hypothalamus is exposed to androgens during prenatal development which results, after maturation, in an irreversible differentiation of the nervous system with a tonic, constant secretion of LH and FSH. In this the hypothalamus mirrors the differentiation of the gonads and, importantly, the organizational effect of the adult brain takes place by specific hormonal exposure early in life. In the newborn female rat a single injection of testosterone results in the absence of cyclic gonadotropin release and anovulation in adult life due to the establishment of a tonic (male) secretion pattern. In humans, brain exposure to testosterone has to occur at critical periods between sixteen to twenty-eight weeks gestation for the various organisational effects to become irreversible. There are possibly several critical periods covering different organizational effects both anatomical and physiological. Good evidence also exists that for human brain organization toward maleness to occur, circulating </w:t>
      </w:r>
      <w:proofErr w:type="spellStart"/>
      <w:r w:rsidRPr="00AE2A25">
        <w:rPr>
          <w:rFonts w:ascii="Times New Roman" w:hAnsi="Times New Roman" w:cs="Times New Roman"/>
          <w:sz w:val="24"/>
          <w:szCs w:val="24"/>
        </w:rPr>
        <w:t>fetal</w:t>
      </w:r>
      <w:proofErr w:type="spellEnd"/>
      <w:r w:rsidRPr="00AE2A25">
        <w:rPr>
          <w:rFonts w:ascii="Times New Roman" w:hAnsi="Times New Roman" w:cs="Times New Roman"/>
          <w:sz w:val="24"/>
          <w:szCs w:val="24"/>
        </w:rPr>
        <w:t xml:space="preserve"> testosterone is converted within the brain by the enzyme aromatase to </w:t>
      </w:r>
      <w:proofErr w:type="spellStart"/>
      <w:r w:rsidRPr="00AE2A25">
        <w:rPr>
          <w:rFonts w:ascii="Times New Roman" w:hAnsi="Times New Roman" w:cs="Times New Roman"/>
          <w:sz w:val="24"/>
          <w:szCs w:val="24"/>
        </w:rPr>
        <w:t>estradiol</w:t>
      </w:r>
      <w:proofErr w:type="spellEnd"/>
      <w:r w:rsidRPr="00AE2A25">
        <w:rPr>
          <w:rFonts w:ascii="Times New Roman" w:hAnsi="Times New Roman" w:cs="Times New Roman"/>
          <w:sz w:val="24"/>
          <w:szCs w:val="24"/>
        </w:rPr>
        <w:t xml:space="preserve">; thus, in effect it is the estrogen </w:t>
      </w:r>
      <w:proofErr w:type="spellStart"/>
      <w:r w:rsidRPr="00AE2A25">
        <w:rPr>
          <w:rFonts w:ascii="Times New Roman" w:hAnsi="Times New Roman" w:cs="Times New Roman"/>
          <w:sz w:val="24"/>
          <w:szCs w:val="24"/>
        </w:rPr>
        <w:t>estradiol</w:t>
      </w:r>
      <w:proofErr w:type="spellEnd"/>
      <w:r w:rsidRPr="00AE2A25">
        <w:rPr>
          <w:rFonts w:ascii="Times New Roman" w:hAnsi="Times New Roman" w:cs="Times New Roman"/>
          <w:sz w:val="24"/>
          <w:szCs w:val="24"/>
        </w:rPr>
        <w:t xml:space="preserve"> that masculinises the brain in male </w:t>
      </w:r>
      <w:proofErr w:type="spellStart"/>
      <w:r w:rsidRPr="00AE2A25">
        <w:rPr>
          <w:rFonts w:ascii="Times New Roman" w:hAnsi="Times New Roman" w:cs="Times New Roman"/>
          <w:sz w:val="24"/>
          <w:szCs w:val="24"/>
        </w:rPr>
        <w:t>fetuses</w:t>
      </w:r>
      <w:proofErr w:type="spellEnd"/>
      <w:r w:rsidRPr="00AE2A25">
        <w:rPr>
          <w:rFonts w:ascii="Times New Roman" w:hAnsi="Times New Roman" w:cs="Times New Roman"/>
          <w:sz w:val="24"/>
          <w:szCs w:val="24"/>
        </w:rPr>
        <w:t>. However, dihydrotestosterone (DHT) may also have a role in the organization of masculine behaviour in primates.</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Although the brains of males and females are sexually differentiated in the </w:t>
      </w:r>
      <w:proofErr w:type="spellStart"/>
      <w:r w:rsidRPr="00AE2A25">
        <w:rPr>
          <w:rFonts w:ascii="Times New Roman" w:hAnsi="Times New Roman" w:cs="Times New Roman"/>
          <w:sz w:val="24"/>
          <w:szCs w:val="24"/>
        </w:rPr>
        <w:t>fetus</w:t>
      </w:r>
      <w:proofErr w:type="spellEnd"/>
      <w:r w:rsidRPr="00AE2A25">
        <w:rPr>
          <w:rFonts w:ascii="Times New Roman" w:hAnsi="Times New Roman" w:cs="Times New Roman"/>
          <w:sz w:val="24"/>
          <w:szCs w:val="24"/>
        </w:rPr>
        <w:t xml:space="preserve">, appropriate physiological, psychological and behavioural traits are not maximally expressed until specific brain areas are activated by the hormonal </w:t>
      </w:r>
      <w:r w:rsidRPr="00AE2A25">
        <w:rPr>
          <w:rFonts w:ascii="Times New Roman" w:hAnsi="Times New Roman" w:cs="Times New Roman"/>
          <w:i/>
          <w:sz w:val="24"/>
          <w:szCs w:val="24"/>
        </w:rPr>
        <w:t>milieu</w:t>
      </w:r>
      <w:r w:rsidRPr="00AE2A25">
        <w:rPr>
          <w:rFonts w:ascii="Times New Roman" w:hAnsi="Times New Roman" w:cs="Times New Roman"/>
          <w:sz w:val="24"/>
          <w:szCs w:val="24"/>
        </w:rPr>
        <w:t xml:space="preserve"> found at puberty and during adulthood. This is because development of the CNS is dependent upon an orderly sequence of hormonal influences; an early organizational stage integral to the development of the nervous system coinciding with sex determination, and a later </w:t>
      </w:r>
      <w:proofErr w:type="spellStart"/>
      <w:r w:rsidRPr="00AE2A25">
        <w:rPr>
          <w:rFonts w:ascii="Times New Roman" w:hAnsi="Times New Roman" w:cs="Times New Roman"/>
          <w:sz w:val="24"/>
          <w:szCs w:val="24"/>
        </w:rPr>
        <w:t>activational</w:t>
      </w:r>
      <w:proofErr w:type="spellEnd"/>
      <w:r w:rsidRPr="00AE2A25">
        <w:rPr>
          <w:rFonts w:ascii="Times New Roman" w:hAnsi="Times New Roman" w:cs="Times New Roman"/>
          <w:sz w:val="24"/>
          <w:szCs w:val="24"/>
        </w:rPr>
        <w:t xml:space="preserve"> stage which is controlled by gonadal steroids at puberty. For example, while the brain’s control over </w:t>
      </w:r>
      <w:r w:rsidRPr="00AE2A25">
        <w:rPr>
          <w:rFonts w:ascii="Times New Roman" w:hAnsi="Times New Roman" w:cs="Times New Roman"/>
          <w:sz w:val="24"/>
          <w:szCs w:val="24"/>
        </w:rPr>
        <w:lastRenderedPageBreak/>
        <w:t xml:space="preserve">aggression is masculinised by testosterone early in development, the adult expression of this function also requires high levels of testosterone. Interestingly, the </w:t>
      </w:r>
      <w:proofErr w:type="spellStart"/>
      <w:r w:rsidRPr="00AE2A25">
        <w:rPr>
          <w:rFonts w:ascii="Times New Roman" w:hAnsi="Times New Roman" w:cs="Times New Roman"/>
          <w:sz w:val="24"/>
          <w:szCs w:val="24"/>
        </w:rPr>
        <w:t>activational</w:t>
      </w:r>
      <w:proofErr w:type="spellEnd"/>
      <w:r w:rsidRPr="00AE2A25">
        <w:rPr>
          <w:rFonts w:ascii="Times New Roman" w:hAnsi="Times New Roman" w:cs="Times New Roman"/>
          <w:sz w:val="24"/>
          <w:szCs w:val="24"/>
        </w:rPr>
        <w:t xml:space="preserve"> effect of testosterone does not work through conversion to estrogen but acts directly or via conversion to dihydrotestosterone. It must be highlighted, however, that a purely neuronal basis of human sexuality is distorted as sexual diversity is part of the natural order. During establishment of the brain’s intricate circuitry, there are numerous ways that epigenetic variables may influence developmental programming enhancing – or weakening – the connections linking social environment with structural, functional and behavioural development.      </w:t>
      </w:r>
    </w:p>
    <w:p w:rsidR="00454D68" w:rsidRPr="00483BD9" w:rsidRDefault="00454D68" w:rsidP="00454D68">
      <w:pPr>
        <w:widowControl w:val="0"/>
        <w:autoSpaceDE w:val="0"/>
        <w:autoSpaceDN w:val="0"/>
        <w:adjustRightInd w:val="0"/>
        <w:rPr>
          <w:rFonts w:ascii="Times New Roman" w:hAnsi="Times New Roman" w:cs="Times New Roman"/>
          <w:sz w:val="28"/>
          <w:szCs w:val="28"/>
        </w:rPr>
      </w:pPr>
    </w:p>
    <w:p w:rsidR="00454D68" w:rsidRPr="00483BD9" w:rsidRDefault="00454D68" w:rsidP="00454D68">
      <w:pPr>
        <w:widowControl w:val="0"/>
        <w:autoSpaceDE w:val="0"/>
        <w:autoSpaceDN w:val="0"/>
        <w:adjustRightInd w:val="0"/>
        <w:rPr>
          <w:rFonts w:ascii="Times New Roman" w:hAnsi="Times New Roman" w:cs="Times New Roman"/>
          <w:b/>
          <w:i/>
          <w:sz w:val="28"/>
          <w:szCs w:val="28"/>
        </w:rPr>
      </w:pPr>
      <w:r w:rsidRPr="00483BD9">
        <w:rPr>
          <w:rFonts w:ascii="Times New Roman" w:hAnsi="Times New Roman" w:cs="Times New Roman"/>
          <w:b/>
          <w:i/>
          <w:sz w:val="28"/>
          <w:szCs w:val="28"/>
        </w:rPr>
        <w:t>The socialisation of human sexuality</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Sexual behaviour is dependent for its expression on genetic coding but is vulnerable to modifying epigenetic influences during critical periods in differentiation. In the area of sexual behaviour the individual must be studied in the context of evolutionary history, individual genotype and environmental development. This is because natural selection has incorporated a flexible strategy of sexual behaviour which relies on cerebral control rather than strictly hormonal command. Inherent behavioural flexibility is adaptive and may explain why, despite consistent effort, scientific attempts to explain diverse sexual behaviours biologically have met with little success. The extent to which our behaviour follows the dictates of our genes, or is the expression of conscious resourcefulness of our thinking brains, is not known, but is the subject of much interest and controversy.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On the whole, significant human survival strengths can best be understood by referring to mechanisms which have maintained social and physiological flexibility across the generations. The opportunistic switch from brute hormonal to cerebral control provided the ability to accommodate change and, eventually, the capacity for judgment, spontaneity and free will. Perhaps the most striking characteristic of this newly acquired flexibility in </w:t>
      </w:r>
      <w:r w:rsidRPr="00AE2A25">
        <w:rPr>
          <w:rFonts w:ascii="Times New Roman" w:hAnsi="Times New Roman" w:cs="Times New Roman"/>
          <w:i/>
          <w:sz w:val="24"/>
          <w:szCs w:val="24"/>
        </w:rPr>
        <w:t>Homo sapiens’</w:t>
      </w:r>
      <w:r w:rsidRPr="00AE2A25">
        <w:rPr>
          <w:rFonts w:ascii="Times New Roman" w:hAnsi="Times New Roman" w:cs="Times New Roman"/>
          <w:sz w:val="24"/>
          <w:szCs w:val="24"/>
        </w:rPr>
        <w:t xml:space="preserve"> evolution has been the socialisation of sexuality. Because we are a socialized species, the assumption that the purpose of human sexuality is purely reproductive, is false. Human sexuality serves other essential purposes such as communication, bonding, touching, self-esteem and social organization. Copulation has a greater social significance than just transmission of genotype, as even a cursory study of the history of contraception reveals. For thousands of years humans have tried to prevent pregnancy. Pregnancy prevention, as practised in early societies, included </w:t>
      </w:r>
      <w:proofErr w:type="spellStart"/>
      <w:r w:rsidRPr="00AE2A25">
        <w:rPr>
          <w:rFonts w:ascii="Times New Roman" w:hAnsi="Times New Roman" w:cs="Times New Roman"/>
          <w:sz w:val="24"/>
          <w:szCs w:val="24"/>
        </w:rPr>
        <w:t>prepubertal</w:t>
      </w:r>
      <w:proofErr w:type="spellEnd"/>
      <w:r w:rsidRPr="00AE2A25">
        <w:rPr>
          <w:rFonts w:ascii="Times New Roman" w:hAnsi="Times New Roman" w:cs="Times New Roman"/>
          <w:sz w:val="24"/>
          <w:szCs w:val="24"/>
        </w:rPr>
        <w:t xml:space="preserve"> coitus, prolonged lactation, delayed marriage, celibacy, withdrawal, the use of abortifacients, vaginal pastes, menses-inducing tampons and various substitutes for heterosexual intercourse. Socialized sexuality in this context reminds us of our varied cultural heritages. Writings over the last few hundred years have forcefully demonstrated evolving socially acceptable views of what was deemed to be ‘masculine’ or ‘feminine’ and these represented a continuum from homosexuality to heterosexuality, or in biological terms, a normal continuum of alternative phenotypes. From </w:t>
      </w:r>
      <w:r w:rsidRPr="00AE2A25">
        <w:rPr>
          <w:rFonts w:ascii="Times New Roman" w:hAnsi="Times New Roman" w:cs="Times New Roman"/>
          <w:sz w:val="24"/>
          <w:szCs w:val="24"/>
        </w:rPr>
        <w:lastRenderedPageBreak/>
        <w:t xml:space="preserve">the human standpoint: sex chromosomes determine sex; gender identity (also called ‘innate gender’) acknowledges awareness, or belief, in ones’ male or femaleness; gender/sex role is the public manifestation of gender identity including appearance, behaviour and sexual orientation but excludes desire which may be multiform and not always reproductive.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p>
    <w:p w:rsidR="00454D68" w:rsidRPr="00483BD9" w:rsidRDefault="00454D68" w:rsidP="00454D68">
      <w:pPr>
        <w:widowControl w:val="0"/>
        <w:autoSpaceDE w:val="0"/>
        <w:autoSpaceDN w:val="0"/>
        <w:adjustRightInd w:val="0"/>
        <w:rPr>
          <w:rFonts w:ascii="Times New Roman" w:hAnsi="Times New Roman" w:cs="Times New Roman"/>
          <w:b/>
          <w:i/>
          <w:sz w:val="28"/>
          <w:szCs w:val="28"/>
        </w:rPr>
      </w:pPr>
      <w:r w:rsidRPr="00483BD9">
        <w:rPr>
          <w:rFonts w:ascii="Times New Roman" w:hAnsi="Times New Roman" w:cs="Times New Roman"/>
          <w:b/>
          <w:i/>
          <w:sz w:val="28"/>
          <w:szCs w:val="28"/>
        </w:rPr>
        <w:t>Sexual orientation</w:t>
      </w:r>
    </w:p>
    <w:p w:rsidR="00454D68" w:rsidRPr="00AE2A25" w:rsidRDefault="00454D68" w:rsidP="00454D68">
      <w:pPr>
        <w:widowControl w:val="0"/>
        <w:autoSpaceDE w:val="0"/>
        <w:autoSpaceDN w:val="0"/>
        <w:adjustRightInd w:val="0"/>
        <w:rPr>
          <w:rFonts w:ascii="Times New Roman" w:hAnsi="Times New Roman" w:cs="Times New Roman"/>
          <w:sz w:val="24"/>
          <w:szCs w:val="24"/>
        </w:rPr>
      </w:pP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Biological explanations of sexual orientation have broadly focused on genes, hormonal events </w:t>
      </w:r>
      <w:r w:rsidRPr="00AE2A25">
        <w:rPr>
          <w:rFonts w:ascii="Times New Roman" w:hAnsi="Times New Roman" w:cs="Times New Roman"/>
          <w:i/>
          <w:sz w:val="24"/>
          <w:szCs w:val="24"/>
        </w:rPr>
        <w:t>in utero</w:t>
      </w:r>
      <w:r w:rsidRPr="00AE2A25">
        <w:rPr>
          <w:rFonts w:ascii="Times New Roman" w:hAnsi="Times New Roman" w:cs="Times New Roman"/>
          <w:sz w:val="24"/>
          <w:szCs w:val="24"/>
        </w:rPr>
        <w:t xml:space="preserve"> and maternal immune responses that are thought to inscribe sexual orientation on to the neural circuitry in the brain. However, no consistent hormonal, immunological or genetic differences have been found between gay, straight, bisexual or asexual preference. All the proposed models are open to criticism because of their implied reliance on developmental abnormalities within the select cohorts of subjects examined, rather than in the healthy population at large. Consequently many scholars are challenging the view that a single theoretical model is capable of explaining a phenomenon as complex as human sexual orientation or transsexualism (see next section). This view rejects normal sexual orientation as being a simple bimodal male-female distribution. Instead, a basic behavioural scaling reflecting flexible genetic predisposition in combination with epigenetic inputs allows for the expression of a range of sexualities. This range is in better accord with actual genotypic and accompanying neuroendocrine variation. According to this hypothesis the continuum spanning possible human sexuality has its aetiology defined in terms of male or female-mediated forms of selective marking that enable certain target gene(s) to switch through the incomplete to the fully penetrant state. Such a mechanism can result in an epigenetically-driven continuum of orientations ranging from asexual, through graded bisexual, to homosexual.</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By distancing ourselves from preoccupation with the gay and lesbian communities with its implied reference to developmental abnormalities, we can focus on adaptive mechanisms underpinning alternative forms of sexual expressions. Because individuals exist in an environmental continuum, adaptive </w:t>
      </w:r>
      <w:proofErr w:type="spellStart"/>
      <w:r w:rsidRPr="00AE2A25">
        <w:rPr>
          <w:rFonts w:ascii="Times New Roman" w:hAnsi="Times New Roman" w:cs="Times New Roman"/>
          <w:sz w:val="24"/>
          <w:szCs w:val="24"/>
        </w:rPr>
        <w:t>preconceptional</w:t>
      </w:r>
      <w:proofErr w:type="spellEnd"/>
      <w:r w:rsidRPr="00AE2A25">
        <w:rPr>
          <w:rFonts w:ascii="Times New Roman" w:hAnsi="Times New Roman" w:cs="Times New Roman"/>
          <w:sz w:val="24"/>
          <w:szCs w:val="24"/>
        </w:rPr>
        <w:t xml:space="preserve"> and prenatal programs have biological significance as they ensure a generational preparedness for the prevailing conditions. Lifestyle factors existing before conception and during </w:t>
      </w:r>
      <w:proofErr w:type="spellStart"/>
      <w:r w:rsidRPr="00AE2A25">
        <w:rPr>
          <w:rFonts w:ascii="Times New Roman" w:hAnsi="Times New Roman" w:cs="Times New Roman"/>
          <w:sz w:val="24"/>
          <w:szCs w:val="24"/>
        </w:rPr>
        <w:t>fetal</w:t>
      </w:r>
      <w:proofErr w:type="spellEnd"/>
      <w:r w:rsidRPr="00AE2A25">
        <w:rPr>
          <w:rFonts w:ascii="Times New Roman" w:hAnsi="Times New Roman" w:cs="Times New Roman"/>
          <w:sz w:val="24"/>
          <w:szCs w:val="24"/>
        </w:rPr>
        <w:t xml:space="preserve"> life are likely to continue throughout pregnancy and beyond; thus, preparedness may facilitate the offspring’s adaptation by anticipating postnatal life from prenatal conditions.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A transgenerational legacy of adaptation is maintained because the steady-state control values of many mammalian physiological/metabolic feedback systems are not rigidly programmed genetically but are set, in part, on the basis of the prevailing environmental conditions during critical periods in development. A good example is the hypothalamic fine tuning which regulates thyroid function. This setting is established by the maternal hormonal environment during a critical period around the time of birth and persists for life. Under normal conditions a developmental flexibility serves to fine balance the offspring’s systems </w:t>
      </w:r>
      <w:r w:rsidRPr="00AE2A25">
        <w:rPr>
          <w:rFonts w:ascii="Times New Roman" w:hAnsi="Times New Roman" w:cs="Times New Roman"/>
          <w:sz w:val="24"/>
          <w:szCs w:val="24"/>
        </w:rPr>
        <w:lastRenderedPageBreak/>
        <w:t xml:space="preserve">with the adapted hormone levels of the mother. Equally, processes that fine-tune brain sex determination may also shape the establishment of alternative sexualities under the influence of stress. In the male, stress-induced alteration of adrenal function may suppress testosterone synthesis during critical periods of gonadal differentiation and this, in turn, may affect the brain differentiation crucial to adult male heterosexual behaviour. Early studies of stress during pregnancy and resulting human sexual orientation relate, directly or indirectly, to war influences. An unusually high proportion of males born in Germany during and immediately after World War II, was homosexual. Other retrospective studies record that nine to twelve months prior to conception, mothers of gay men experienced levels of stress scores two and a half times as high as those of mothers of heterosexual sons, and nearly two-thirds of the mothers of gay men recalled stressful episodes during pregnancy compared with one-third of mothers of bisexual men and less than 1% of mothers of heterosexual men. It </w:t>
      </w:r>
      <w:proofErr w:type="spellStart"/>
      <w:r w:rsidRPr="00AE2A25">
        <w:rPr>
          <w:rFonts w:ascii="Times New Roman" w:hAnsi="Times New Roman" w:cs="Times New Roman"/>
          <w:sz w:val="24"/>
          <w:szCs w:val="24"/>
        </w:rPr>
        <w:t>maybe</w:t>
      </w:r>
      <w:proofErr w:type="spellEnd"/>
      <w:r w:rsidRPr="00AE2A25">
        <w:rPr>
          <w:rFonts w:ascii="Times New Roman" w:hAnsi="Times New Roman" w:cs="Times New Roman"/>
          <w:sz w:val="24"/>
          <w:szCs w:val="24"/>
        </w:rPr>
        <w:t xml:space="preserve"> assumed that the extreme distress of war would affect not only pregnant women, or women about to conceive, but men as well.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The phenomenon of genomic or parental imprinting suggests that the soma, or body, influences developing germ cells during gametogenesis by selectively marking or imprinting them. At fertilization, this imprinting influences the direction of the conceptus’s growth and development. Genomic imprinting demonstrates that DNA is not passed on through the generations intact and that environmental influences can also produce inheritable changes in the way DNA works.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Fraternal birth order can also affect sexual orientation since men with many older brothers are more likely to be gay while the number of step brothers and adopted brothers has no effect. The “maternal immune hypothesis” posits that a maternal immune reaction is provoked by male </w:t>
      </w:r>
      <w:proofErr w:type="spellStart"/>
      <w:r w:rsidRPr="00AE2A25">
        <w:rPr>
          <w:rFonts w:ascii="Times New Roman" w:hAnsi="Times New Roman" w:cs="Times New Roman"/>
          <w:sz w:val="24"/>
          <w:szCs w:val="24"/>
        </w:rPr>
        <w:t>fetuses</w:t>
      </w:r>
      <w:proofErr w:type="spellEnd"/>
      <w:r w:rsidRPr="00AE2A25">
        <w:rPr>
          <w:rFonts w:ascii="Times New Roman" w:hAnsi="Times New Roman" w:cs="Times New Roman"/>
          <w:sz w:val="24"/>
          <w:szCs w:val="24"/>
        </w:rPr>
        <w:t xml:space="preserve"> and becomes stronger after each pregnancy with a male </w:t>
      </w:r>
      <w:proofErr w:type="spellStart"/>
      <w:r w:rsidRPr="00AE2A25">
        <w:rPr>
          <w:rFonts w:ascii="Times New Roman" w:hAnsi="Times New Roman" w:cs="Times New Roman"/>
          <w:sz w:val="24"/>
          <w:szCs w:val="24"/>
        </w:rPr>
        <w:t>fetus</w:t>
      </w:r>
      <w:proofErr w:type="spellEnd"/>
      <w:r w:rsidRPr="00AE2A25">
        <w:rPr>
          <w:rFonts w:ascii="Times New Roman" w:hAnsi="Times New Roman" w:cs="Times New Roman"/>
          <w:sz w:val="24"/>
          <w:szCs w:val="24"/>
        </w:rPr>
        <w:t xml:space="preserve">. The relevant </w:t>
      </w:r>
      <w:proofErr w:type="spellStart"/>
      <w:r w:rsidRPr="00AE2A25">
        <w:rPr>
          <w:rFonts w:ascii="Times New Roman" w:hAnsi="Times New Roman" w:cs="Times New Roman"/>
          <w:sz w:val="24"/>
          <w:szCs w:val="24"/>
        </w:rPr>
        <w:t>fetal</w:t>
      </w:r>
      <w:proofErr w:type="spellEnd"/>
      <w:r w:rsidRPr="00AE2A25">
        <w:rPr>
          <w:rFonts w:ascii="Times New Roman" w:hAnsi="Times New Roman" w:cs="Times New Roman"/>
          <w:sz w:val="24"/>
          <w:szCs w:val="24"/>
        </w:rPr>
        <w:t xml:space="preserve"> antigen might be one of the male-specific, Y-linked, minor histocompatibility antigens, often referred to collectively as H-Y antigen. The hypothesis is that mothers of sons produce anti-H-Y antibodies during pregnancy that interfere with the masculinising effects on future sons.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Variable endocrine environments during critical periods in development may likewise increase the incidence of homosexuality in women. A good example already described under ‘</w:t>
      </w:r>
      <w:r w:rsidRPr="00AE2A25">
        <w:rPr>
          <w:rFonts w:ascii="Times New Roman" w:hAnsi="Times New Roman" w:cs="Times New Roman"/>
          <w:i/>
          <w:sz w:val="24"/>
          <w:szCs w:val="24"/>
        </w:rPr>
        <w:t>Errors of Sexual Differentiation</w:t>
      </w:r>
      <w:r w:rsidRPr="00AE2A25">
        <w:rPr>
          <w:rFonts w:ascii="Times New Roman" w:hAnsi="Times New Roman" w:cs="Times New Roman"/>
          <w:sz w:val="24"/>
          <w:szCs w:val="24"/>
        </w:rPr>
        <w:t xml:space="preserve">’, relates to the adult daughters of DES-treated mothers who exhibit markedly increased incidences of bisexual and homosexual behaviour. As described earlier, for masculinization of the </w:t>
      </w:r>
      <w:proofErr w:type="spellStart"/>
      <w:r w:rsidRPr="00AE2A25">
        <w:rPr>
          <w:rFonts w:ascii="Times New Roman" w:hAnsi="Times New Roman" w:cs="Times New Roman"/>
          <w:sz w:val="24"/>
          <w:szCs w:val="24"/>
        </w:rPr>
        <w:t>fetal</w:t>
      </w:r>
      <w:proofErr w:type="spellEnd"/>
      <w:r w:rsidRPr="00AE2A25">
        <w:rPr>
          <w:rFonts w:ascii="Times New Roman" w:hAnsi="Times New Roman" w:cs="Times New Roman"/>
          <w:sz w:val="24"/>
          <w:szCs w:val="24"/>
        </w:rPr>
        <w:t xml:space="preserve"> brain to occur, testosterone is first converted to estrogen so it’s possible that the synthetic estrogen DES may have prenatally androgenised brain differentiation in women who then have a higher incidence of homosexual feelings. Since the 1940s, soon after the sex steroids had first been synthesized, there were many attempts to prove a definitive </w:t>
      </w:r>
      <w:proofErr w:type="spellStart"/>
      <w:r w:rsidRPr="00AE2A25">
        <w:rPr>
          <w:rFonts w:ascii="Times New Roman" w:hAnsi="Times New Roman" w:cs="Times New Roman"/>
          <w:sz w:val="24"/>
          <w:szCs w:val="24"/>
        </w:rPr>
        <w:t>neurohormonal</w:t>
      </w:r>
      <w:proofErr w:type="spellEnd"/>
      <w:r w:rsidRPr="00AE2A25">
        <w:rPr>
          <w:rFonts w:ascii="Times New Roman" w:hAnsi="Times New Roman" w:cs="Times New Roman"/>
          <w:sz w:val="24"/>
          <w:szCs w:val="24"/>
        </w:rPr>
        <w:t xml:space="preserve"> theory of sexual orientation which could be associated with ‘natural masculinity’ and ‘natural femininity’. However, there is no statistically valid study based on random sampling of the entire male or female population that links sex steroid levels with homosexuality. An over preoccupation with the science of homosexuality may underlie an intention to control and/or eliminate it in future – an attitude that could gain traction if a gay gene – or genes – were to be discovered. </w:t>
      </w:r>
    </w:p>
    <w:p w:rsidR="00454D68" w:rsidRPr="00AE2A25" w:rsidRDefault="00454D68" w:rsidP="00454D68">
      <w:pPr>
        <w:widowControl w:val="0"/>
        <w:autoSpaceDE w:val="0"/>
        <w:autoSpaceDN w:val="0"/>
        <w:adjustRightInd w:val="0"/>
        <w:rPr>
          <w:rFonts w:ascii="Times New Roman" w:hAnsi="Times New Roman" w:cs="Times New Roman"/>
          <w:sz w:val="24"/>
          <w:szCs w:val="24"/>
        </w:rPr>
      </w:pPr>
    </w:p>
    <w:p w:rsidR="00454D68" w:rsidRPr="00483BD9" w:rsidRDefault="00454D68" w:rsidP="00454D68">
      <w:pPr>
        <w:widowControl w:val="0"/>
        <w:autoSpaceDE w:val="0"/>
        <w:autoSpaceDN w:val="0"/>
        <w:adjustRightInd w:val="0"/>
        <w:rPr>
          <w:rFonts w:ascii="Times New Roman" w:hAnsi="Times New Roman" w:cs="Times New Roman"/>
          <w:b/>
          <w:i/>
          <w:sz w:val="28"/>
          <w:szCs w:val="28"/>
        </w:rPr>
      </w:pPr>
      <w:r w:rsidRPr="00483BD9">
        <w:rPr>
          <w:rFonts w:ascii="Times New Roman" w:hAnsi="Times New Roman" w:cs="Times New Roman"/>
          <w:b/>
          <w:i/>
          <w:sz w:val="28"/>
          <w:szCs w:val="28"/>
        </w:rPr>
        <w:t>Transgender and gender recognition</w:t>
      </w:r>
    </w:p>
    <w:p w:rsidR="00454D68" w:rsidRPr="00AE2A25" w:rsidRDefault="00454D68" w:rsidP="00454D68">
      <w:pPr>
        <w:widowControl w:val="0"/>
        <w:autoSpaceDE w:val="0"/>
        <w:autoSpaceDN w:val="0"/>
        <w:adjustRightInd w:val="0"/>
        <w:rPr>
          <w:rFonts w:ascii="Times New Roman" w:hAnsi="Times New Roman" w:cs="Times New Roman"/>
          <w:sz w:val="24"/>
          <w:szCs w:val="24"/>
        </w:rPr>
      </w:pP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w:t>
      </w:r>
      <w:r w:rsidRPr="00AE2A25">
        <w:rPr>
          <w:rFonts w:ascii="Times New Roman" w:hAnsi="Times New Roman" w:cs="Times New Roman"/>
          <w:i/>
          <w:sz w:val="24"/>
          <w:szCs w:val="24"/>
        </w:rPr>
        <w:t>I was born fourteen years ago, when I was fifty-two years old. Not born again; not reborn … just born. A long gestation period, and a difficult one, full of pain and joy, achievement and failure. I jumped because I was pushed but if I hadn’t been pushed I think I would eventually have jumped anyway. No wonder I adopted the butterfly as my symbol. I emerged from the confining chrysalis of masculinity to be the female person I had always known myself to be, despite years of avoidance, denial and sublimation.</w:t>
      </w:r>
      <w:r w:rsidRPr="00AE2A25">
        <w:rPr>
          <w:rFonts w:ascii="Times New Roman" w:hAnsi="Times New Roman" w:cs="Times New Roman"/>
          <w:sz w:val="24"/>
          <w:szCs w:val="24"/>
        </w:rPr>
        <w:t>”</w:t>
      </w:r>
      <w:r w:rsidRPr="00AE2A25">
        <w:rPr>
          <w:rStyle w:val="FootnoteReference"/>
          <w:rFonts w:cs="Times New Roman"/>
          <w:sz w:val="24"/>
          <w:szCs w:val="24"/>
        </w:rPr>
        <w:footnoteReference w:id="1"/>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A transsexual is a person whose gender identity is at conflict with his or her genetic sex and physical appearance. In the majority of cases physical appearance of the genitals is a reliable indicator of sexual identity. In a minority incongruity between anatomical sex and experienced gender identity is so pronounced and persistent that transsexuals may seek treatment to, as far as medically possible, physically change their bodies and live as members of the other sex. However, a growing recognition that sex and innate gender need not be related has led to an increasing number of transgendered who transition but refuse surgical intervention. Thus, the concept of what it is to be a man or woman is gradually being modified from the physical to the mental.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Past and ongoing studies on chromosomes, hormones and brain structure/function relationships have not provided reliable and replicable insights of how a person’s gender identity is moulded. As already noted, human sexual differentiation is a multistep, sequentially interrelated process in which genetic information is translated into the phenotype of a person who subsequently establishes a male or female identity and awareness of sexual orientation. Research in this field is hampered by the priory assumptions of many scientists and clinicians who classify transsexualism as an abnormality in need of revolution. With the aid of new technologies, however, neuroscientists are beginning to replace ‘pathology’ with direct observations of brain sex plasticity. Cerebral lateralization studies have revealed that alleged masculine patterns of brain functions (meaning that the brain usually uses predominantly one hemisphere to accomplish a cognitive task) can be found in anatomical females; similarly alleged feminine patterns of brain functions (meaning that the brain will have proportionally greater contributions from both hemispheres to accomplish a cognitive task) can be found in anatomical males. These cerebral lateralization studies reinforce the natural continuum of physiologically overlapping phenotypes and must replace the popular but overly simple dimorphism. Other methodological difficulties stem from the implicit but biologically incorrect concept that gender identity and homosexuality are interconnected. As a result, the word ‘transsexual’ has lost popularity in favour of the preferred term ‘transgendered’. A transsexual can in fact be homosexual, bisexual, heterosexual or asexual. </w:t>
      </w:r>
      <w:r w:rsidRPr="00AE2A25">
        <w:rPr>
          <w:rFonts w:ascii="Times New Roman" w:hAnsi="Times New Roman" w:cs="Times New Roman"/>
          <w:sz w:val="24"/>
          <w:szCs w:val="24"/>
        </w:rPr>
        <w:lastRenderedPageBreak/>
        <w:t xml:space="preserve">Since the terms transsexual and transgendered are currently in common use, they will be used here interchangeably.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Although it is still widely held that the two genders are natural and immutable, transsexualism has a long history and exists in all societies and ethnic categories. Moreover, in societies that can tolerate lack of correspondence between gender and genitals, there is no documented transsexual discrimination. Cross-cultural perspectives on gender demonstrate the many ways that biological brain gender can be used as a blueprint for maintaining community wellbeing. A </w:t>
      </w:r>
      <w:proofErr w:type="spellStart"/>
      <w:r w:rsidRPr="00AE2A25">
        <w:rPr>
          <w:rFonts w:ascii="Times New Roman" w:hAnsi="Times New Roman" w:cs="Times New Roman"/>
          <w:sz w:val="24"/>
          <w:szCs w:val="24"/>
        </w:rPr>
        <w:t>well documented</w:t>
      </w:r>
      <w:proofErr w:type="spellEnd"/>
      <w:r w:rsidRPr="00AE2A25">
        <w:rPr>
          <w:rFonts w:ascii="Times New Roman" w:hAnsi="Times New Roman" w:cs="Times New Roman"/>
          <w:sz w:val="24"/>
          <w:szCs w:val="24"/>
        </w:rPr>
        <w:t xml:space="preserve"> example comes from the Two-Spirit People (once referred to by the discredited generic term ‘</w:t>
      </w:r>
      <w:proofErr w:type="spellStart"/>
      <w:r w:rsidRPr="00AE2A25">
        <w:rPr>
          <w:rFonts w:ascii="Times New Roman" w:hAnsi="Times New Roman" w:cs="Times New Roman"/>
          <w:sz w:val="24"/>
          <w:szCs w:val="24"/>
        </w:rPr>
        <w:t>berdache</w:t>
      </w:r>
      <w:proofErr w:type="spellEnd"/>
      <w:r w:rsidRPr="00AE2A25">
        <w:rPr>
          <w:rFonts w:ascii="Times New Roman" w:hAnsi="Times New Roman" w:cs="Times New Roman"/>
          <w:sz w:val="24"/>
          <w:szCs w:val="24"/>
        </w:rPr>
        <w:t>’) identifiable among many North American and Canadian First Nation Indigenous groups. Two-Spirit refers to third gender people and implies a masculine spirit and a feminine spirit living in the same body. Such people are respected for being both male and female which makes them more complete and, thus, better balanced when performing specific social functions in their communities. For example, in some groups male-bodied two-spirits were active as healers and conveyers of oral traditions, made pottery, wove and fulfilled other special functions in connection with festivities and dance. Conversely, female-bodied two-spirits typically took on roles such as chief, councillor, trader, hunter, raider and peace messenger. The above thinking is also reflected in the ancient Greek tradition. Plato when discussing the power of Love maintained that originally the sexes were not two but three in number; there was man, woman, and the union of the two, from which the name ‘androgynous’ survives but nothing else.</w:t>
      </w:r>
      <w:r w:rsidRPr="00AE2A25">
        <w:rPr>
          <w:rStyle w:val="FootnoteReference"/>
          <w:rFonts w:cs="Times New Roman"/>
          <w:sz w:val="24"/>
          <w:szCs w:val="24"/>
        </w:rPr>
        <w:footnoteReference w:id="2"/>
      </w:r>
      <w:r w:rsidRPr="00AE2A25">
        <w:rPr>
          <w:rFonts w:ascii="Times New Roman" w:hAnsi="Times New Roman" w:cs="Times New Roman"/>
          <w:sz w:val="24"/>
          <w:szCs w:val="24"/>
        </w:rPr>
        <w:t xml:space="preserve">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In the South Pacific islands of Samoa as many as one family in five may have a son who is a </w:t>
      </w:r>
      <w:proofErr w:type="spellStart"/>
      <w:r w:rsidRPr="00AE2A25">
        <w:rPr>
          <w:rFonts w:ascii="Times New Roman" w:hAnsi="Times New Roman" w:cs="Times New Roman"/>
          <w:i/>
          <w:sz w:val="24"/>
          <w:szCs w:val="24"/>
        </w:rPr>
        <w:t>fa’afafine</w:t>
      </w:r>
      <w:proofErr w:type="spellEnd"/>
      <w:r w:rsidRPr="00AE2A25">
        <w:rPr>
          <w:rFonts w:ascii="Times New Roman" w:hAnsi="Times New Roman" w:cs="Times New Roman"/>
          <w:sz w:val="24"/>
          <w:szCs w:val="24"/>
        </w:rPr>
        <w:t xml:space="preserve"> – literally meaning a male who is like a female. </w:t>
      </w:r>
      <w:proofErr w:type="spellStart"/>
      <w:r w:rsidRPr="00AE2A25">
        <w:rPr>
          <w:rFonts w:ascii="Times New Roman" w:hAnsi="Times New Roman" w:cs="Times New Roman"/>
          <w:i/>
          <w:sz w:val="24"/>
          <w:szCs w:val="24"/>
        </w:rPr>
        <w:t>Fa’afafines</w:t>
      </w:r>
      <w:proofErr w:type="spellEnd"/>
      <w:r w:rsidRPr="00AE2A25">
        <w:rPr>
          <w:rFonts w:ascii="Times New Roman" w:hAnsi="Times New Roman" w:cs="Times New Roman"/>
          <w:sz w:val="24"/>
          <w:szCs w:val="24"/>
        </w:rPr>
        <w:t xml:space="preserve"> are boys who are typically nominated by their families as ‘excess’ males and grow up from an early age as girls. </w:t>
      </w:r>
      <w:proofErr w:type="spellStart"/>
      <w:r w:rsidRPr="00AE2A25">
        <w:rPr>
          <w:rFonts w:ascii="Times New Roman" w:hAnsi="Times New Roman" w:cs="Times New Roman"/>
          <w:i/>
          <w:sz w:val="24"/>
          <w:szCs w:val="24"/>
        </w:rPr>
        <w:t>Fa’afafines</w:t>
      </w:r>
      <w:proofErr w:type="spellEnd"/>
      <w:r w:rsidRPr="00AE2A25">
        <w:rPr>
          <w:rFonts w:ascii="Times New Roman" w:hAnsi="Times New Roman" w:cs="Times New Roman"/>
          <w:sz w:val="24"/>
          <w:szCs w:val="24"/>
        </w:rPr>
        <w:t xml:space="preserve"> are usually well educated and are among society’s most respected members as they devote themselves to education, health, social welfare and the preservation of traditional Samoan culture. There is also a long history of transgender acceptance in Asia where, for example, cultures in the Indian subcontinent include individuals assigned male at birth but who later live as a third gender referred to in Hindi as ‘</w:t>
      </w:r>
      <w:proofErr w:type="spellStart"/>
      <w:r w:rsidRPr="00AE2A25">
        <w:rPr>
          <w:rFonts w:ascii="Times New Roman" w:hAnsi="Times New Roman" w:cs="Times New Roman"/>
          <w:sz w:val="24"/>
          <w:szCs w:val="24"/>
        </w:rPr>
        <w:t>hijra</w:t>
      </w:r>
      <w:proofErr w:type="spellEnd"/>
      <w:r w:rsidRPr="00AE2A25">
        <w:rPr>
          <w:rFonts w:ascii="Times New Roman" w:hAnsi="Times New Roman" w:cs="Times New Roman"/>
          <w:sz w:val="24"/>
          <w:szCs w:val="24"/>
        </w:rPr>
        <w:t>’.</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Western and some other dominant extant cultures require a medical diagnosis of transgenderism, which may be settled only after years of continuous gender identity confusion and ‘remedial’ assistance. However, autobiographies and personal accounts repeatedly describe feelings from early childhood of being locked inside a body in which they do not belong. The awareness of being different as a child, which </w:t>
      </w:r>
      <w:proofErr w:type="spellStart"/>
      <w:r w:rsidRPr="00AE2A25">
        <w:rPr>
          <w:rFonts w:ascii="Times New Roman" w:hAnsi="Times New Roman" w:cs="Times New Roman"/>
          <w:sz w:val="24"/>
          <w:szCs w:val="24"/>
        </w:rPr>
        <w:t>maybe</w:t>
      </w:r>
      <w:proofErr w:type="spellEnd"/>
      <w:r w:rsidRPr="00AE2A25">
        <w:rPr>
          <w:rFonts w:ascii="Times New Roman" w:hAnsi="Times New Roman" w:cs="Times New Roman"/>
          <w:sz w:val="24"/>
          <w:szCs w:val="24"/>
        </w:rPr>
        <w:t xml:space="preserve"> accompanied by bullying and teasing at school, highlights a genuine problem that is deserving of understanding and appropriate socio-medical management. Instead, social banishment even well into adulthood is the experience of many, an experience made worse by certain social elements that maintain that a life of overt transsexualism is synonymous with immorality.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In practical terms, there are two basic approaches to identifying a person’s sex for community and legal purposes. First is the uncomplicated straight forward approach that exclaims ‘</w:t>
      </w:r>
      <w:r w:rsidRPr="00AE2A25">
        <w:rPr>
          <w:rFonts w:ascii="Times New Roman" w:hAnsi="Times New Roman" w:cs="Times New Roman"/>
          <w:i/>
          <w:sz w:val="24"/>
          <w:szCs w:val="24"/>
        </w:rPr>
        <w:t>it’s a boy!</w:t>
      </w:r>
      <w:r w:rsidRPr="00AE2A25">
        <w:rPr>
          <w:rFonts w:ascii="Times New Roman" w:hAnsi="Times New Roman" w:cs="Times New Roman"/>
          <w:sz w:val="24"/>
          <w:szCs w:val="24"/>
        </w:rPr>
        <w:t>’ or ‘</w:t>
      </w:r>
      <w:r w:rsidRPr="00AE2A25">
        <w:rPr>
          <w:rFonts w:ascii="Times New Roman" w:hAnsi="Times New Roman" w:cs="Times New Roman"/>
          <w:i/>
          <w:sz w:val="24"/>
          <w:szCs w:val="24"/>
        </w:rPr>
        <w:t>it’s girl!</w:t>
      </w:r>
      <w:r w:rsidRPr="00AE2A25">
        <w:rPr>
          <w:rFonts w:ascii="Times New Roman" w:hAnsi="Times New Roman" w:cs="Times New Roman"/>
          <w:sz w:val="24"/>
          <w:szCs w:val="24"/>
        </w:rPr>
        <w:t xml:space="preserve">’ as indicated at birth by the infant’s genitalia. The second </w:t>
      </w:r>
      <w:r w:rsidRPr="00AE2A25">
        <w:rPr>
          <w:rFonts w:ascii="Times New Roman" w:hAnsi="Times New Roman" w:cs="Times New Roman"/>
          <w:sz w:val="24"/>
          <w:szCs w:val="24"/>
        </w:rPr>
        <w:lastRenderedPageBreak/>
        <w:t xml:space="preserve">is a more complex biological approach. Transgender research (as for sexual orientation) has broadly focused on genes and hormonal events </w:t>
      </w:r>
      <w:r w:rsidRPr="00AE2A25">
        <w:rPr>
          <w:rFonts w:ascii="Times New Roman" w:hAnsi="Times New Roman" w:cs="Times New Roman"/>
          <w:i/>
          <w:sz w:val="24"/>
          <w:szCs w:val="24"/>
        </w:rPr>
        <w:t>in utero</w:t>
      </w:r>
      <w:r w:rsidRPr="00AE2A25">
        <w:rPr>
          <w:rFonts w:ascii="Times New Roman" w:hAnsi="Times New Roman" w:cs="Times New Roman"/>
          <w:sz w:val="24"/>
          <w:szCs w:val="24"/>
        </w:rPr>
        <w:t xml:space="preserve"> that may point to causal, or multi-causal, factors facilitating, or inhibiting, the development of the neural circuitry on which gender identity is inscribed. The </w:t>
      </w:r>
      <w:proofErr w:type="spellStart"/>
      <w:r w:rsidRPr="00AE2A25">
        <w:rPr>
          <w:rFonts w:ascii="Times New Roman" w:hAnsi="Times New Roman" w:cs="Times New Roman"/>
          <w:sz w:val="24"/>
          <w:szCs w:val="24"/>
        </w:rPr>
        <w:t>psychoneuroendocrine</w:t>
      </w:r>
      <w:proofErr w:type="spellEnd"/>
      <w:r w:rsidRPr="00AE2A25">
        <w:rPr>
          <w:rFonts w:ascii="Times New Roman" w:hAnsi="Times New Roman" w:cs="Times New Roman"/>
          <w:sz w:val="24"/>
          <w:szCs w:val="24"/>
        </w:rPr>
        <w:t xml:space="preserve"> theory holds that brain exposure to an abnormal concentration of sex hormones during </w:t>
      </w:r>
      <w:proofErr w:type="spellStart"/>
      <w:r w:rsidRPr="00AE2A25">
        <w:rPr>
          <w:rFonts w:ascii="Times New Roman" w:hAnsi="Times New Roman" w:cs="Times New Roman"/>
          <w:sz w:val="24"/>
          <w:szCs w:val="24"/>
        </w:rPr>
        <w:t>fetal</w:t>
      </w:r>
      <w:proofErr w:type="spellEnd"/>
      <w:r w:rsidRPr="00AE2A25">
        <w:rPr>
          <w:rFonts w:ascii="Times New Roman" w:hAnsi="Times New Roman" w:cs="Times New Roman"/>
          <w:sz w:val="24"/>
          <w:szCs w:val="24"/>
        </w:rPr>
        <w:t xml:space="preserve"> and early postnatal life is a major determinant of gender identity and, subsequent, transgenderism. Alternatively, there are known gene variants which affect sexual differentiation of the brain. Repeat polymorphic variants of such genes increase the susceptibility for male-to-female transsexualism.</w:t>
      </w:r>
      <w:r w:rsidRPr="00AE2A25">
        <w:rPr>
          <w:rStyle w:val="FootnoteReference"/>
          <w:rFonts w:cs="Times New Roman"/>
          <w:sz w:val="24"/>
          <w:szCs w:val="24"/>
        </w:rPr>
        <w:footnoteReference w:id="3"/>
      </w:r>
      <w:r w:rsidRPr="00AE2A25">
        <w:rPr>
          <w:rFonts w:ascii="Times New Roman" w:hAnsi="Times New Roman" w:cs="Times New Roman"/>
          <w:sz w:val="24"/>
          <w:szCs w:val="24"/>
        </w:rPr>
        <w:t xml:space="preserve"> In particular one repeat variant found on the estrogen receptor or ERβ gene, which acts as a gateway controlling the flow of estrogen, was significantly associated with the frequency of male-to-female transsexualism. The more frequent the repeats or stutters of the ERβ gene the greater the incidence of transsexualism. However, long allele repeat variants are also relatively common in the general population so many variants cannot be a primary cause of transsexualism, but certain combinations may well be a contributing cause.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On the basis of epidemiological evidence, sex and gender identity are not an option of personal choice; rather they are derived from interacting genetic and epigenetic elements. Gender roles, on the other hand, can be changed and under reassignment (with or without surgery) it becomes possible to bring innate gender and gender role into congruence. Male-to-female (MF) transsexuals are individuals classified as males at birth who went from a male designation to a female designation and </w:t>
      </w:r>
      <w:r w:rsidRPr="00AE2A25">
        <w:rPr>
          <w:rFonts w:ascii="Times New Roman" w:hAnsi="Times New Roman" w:cs="Times New Roman"/>
          <w:i/>
          <w:sz w:val="24"/>
          <w:szCs w:val="24"/>
        </w:rPr>
        <w:t>vice versa</w:t>
      </w:r>
      <w:r w:rsidRPr="00AE2A25">
        <w:rPr>
          <w:rFonts w:ascii="Times New Roman" w:hAnsi="Times New Roman" w:cs="Times New Roman"/>
          <w:sz w:val="24"/>
          <w:szCs w:val="24"/>
        </w:rPr>
        <w:t xml:space="preserve"> for female to male (FM) transsexuals. It is estimated that transgender prevalence is of the order of 1 in 500 but may even be more frequent. Transgenderism is typically self-diagnosed at a very young age and lasts a lifetime and, hence, at any given time is much larger than the number of officially diagnosed cases. Given this relatively high incidence, medical and public health communities as well as governmental institutions must seriously consider practical ways of improving social welfare and legal rights issues as they concern the transgendered. To date, legal rights issues of transgendered have largely concentrated on changing birth certificates and other personal documents, the right to marry, entitlements to government benefits and protection under anti-discrimination legislation.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For transsexuals, transitioning from the gender of birth is a stressful physical and social process and some medical professionals express considerable doubt about the desirability of facilitating gender transition, especially with gender assignment surgery. On the other hand, a unisex appearance/lifestyle is problematic in a gendered world where sex or gender has to be declared for sociologic and legal purposes. Most is known about M-F transsexuals. This </w:t>
      </w:r>
      <w:proofErr w:type="spellStart"/>
      <w:r w:rsidRPr="00AE2A25">
        <w:rPr>
          <w:rFonts w:ascii="Times New Roman" w:hAnsi="Times New Roman" w:cs="Times New Roman"/>
          <w:sz w:val="24"/>
          <w:szCs w:val="24"/>
        </w:rPr>
        <w:t>maybe</w:t>
      </w:r>
      <w:proofErr w:type="spellEnd"/>
      <w:r w:rsidRPr="00AE2A25">
        <w:rPr>
          <w:rFonts w:ascii="Times New Roman" w:hAnsi="Times New Roman" w:cs="Times New Roman"/>
          <w:sz w:val="24"/>
          <w:szCs w:val="24"/>
        </w:rPr>
        <w:t xml:space="preserve"> due to a greater willingness to share experiences, or because male to females are more conspicuous socially, or maybe because, historically, transwomen had been socialized to be more assertive and demanded greater access to gender clinics catering to their specific needs.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Before gender clinics recommend gender assignment surgery, several conditions have to be satisfied. One clear pattern of similarity among the M-F transgendered is that an estimated </w:t>
      </w:r>
      <w:r w:rsidRPr="00AE2A25">
        <w:rPr>
          <w:rFonts w:ascii="Times New Roman" w:hAnsi="Times New Roman" w:cs="Times New Roman"/>
          <w:sz w:val="24"/>
          <w:szCs w:val="24"/>
        </w:rPr>
        <w:lastRenderedPageBreak/>
        <w:t xml:space="preserve">93% began cross dressing in their mother’s or sister’s clothes when first experiencing anxiety over their sexual ambivalence. Such a universal behaviour appears to be an early realization that their contrived appearance as boys is deceptive and in need of eradication. As adults, transitioning typically commences with living as women and developing their bodies to resemble those of biological females. Before gaining access to assignment surgery both transwomen and transmen have to demonstrate certainty of gender identity, taking appropriate steroidal sex hormones, maintaining regular contact with their physician and living publicly according to their gender identity.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 xml:space="preserve">In the last two decades surgical techniques have improved radically but gender realignment is still heavy surgery involving reshaping the whole body and constructing genitals to appear normal and, as far as possible, function normally. Transwoman surgery involves removal of the testes, male accessory glands and almost the entire penis. The inverted penile skin, with preserved blood and nerve supplies, is used to line the neo-vagina after a cavity is created in the pelvis. This procedure known as </w:t>
      </w:r>
      <w:proofErr w:type="spellStart"/>
      <w:r w:rsidRPr="00AE2A25">
        <w:rPr>
          <w:rFonts w:ascii="Times New Roman" w:hAnsi="Times New Roman" w:cs="Times New Roman"/>
          <w:sz w:val="24"/>
          <w:szCs w:val="24"/>
        </w:rPr>
        <w:t>vaginoplasty</w:t>
      </w:r>
      <w:proofErr w:type="spellEnd"/>
      <w:r w:rsidRPr="00AE2A25">
        <w:rPr>
          <w:rFonts w:ascii="Times New Roman" w:hAnsi="Times New Roman" w:cs="Times New Roman"/>
          <w:sz w:val="24"/>
          <w:szCs w:val="24"/>
        </w:rPr>
        <w:t xml:space="preserve"> forms a fully sensate vagina and clitoris. The labia majora are made out of the scrotal skin, while the labia minora are constructed by pleating the junction of the penile and scrotal skin. The operation also repositions the urethra so that water passes directly into the bowl during urination from a sitting position. </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Transman surgery involves bilateral mastectomy, or removal of the breasts, shaping of a masculine chest and removal of all the internal female sex organs. Genital reconstructive procedures (</w:t>
      </w:r>
      <w:proofErr w:type="spellStart"/>
      <w:r w:rsidRPr="00AE2A25">
        <w:rPr>
          <w:rFonts w:ascii="Times New Roman" w:hAnsi="Times New Roman" w:cs="Times New Roman"/>
          <w:sz w:val="24"/>
          <w:szCs w:val="24"/>
        </w:rPr>
        <w:t>phalloplasty</w:t>
      </w:r>
      <w:proofErr w:type="spellEnd"/>
      <w:r w:rsidRPr="00AE2A25">
        <w:rPr>
          <w:rFonts w:ascii="Times New Roman" w:hAnsi="Times New Roman" w:cs="Times New Roman"/>
          <w:sz w:val="24"/>
          <w:szCs w:val="24"/>
        </w:rPr>
        <w:t xml:space="preserve">) involve the use of either clitoris (often enlarged by testosterone treatment and freed by metoidioplasty) or tissue grafts from the arm, thigh or belly and an erectile prosthesis. In a </w:t>
      </w:r>
      <w:r w:rsidRPr="00AE2A25">
        <w:rPr>
          <w:rFonts w:ascii="Times New Roman" w:hAnsi="Times New Roman" w:cs="Times New Roman"/>
          <w:bCs/>
          <w:sz w:val="24"/>
          <w:szCs w:val="24"/>
        </w:rPr>
        <w:t>metoidioplasty</w:t>
      </w:r>
      <w:r w:rsidRPr="00AE2A25">
        <w:rPr>
          <w:rFonts w:ascii="Times New Roman" w:hAnsi="Times New Roman" w:cs="Times New Roman"/>
          <w:sz w:val="24"/>
          <w:szCs w:val="24"/>
        </w:rPr>
        <w:t xml:space="preserve"> the enlarged clitoris is released from its position and moved forward to more closely</w:t>
      </w:r>
      <w:r w:rsidRPr="004A6C4D">
        <w:rPr>
          <w:sz w:val="24"/>
          <w:szCs w:val="24"/>
        </w:rPr>
        <w:t xml:space="preserve"> </w:t>
      </w:r>
      <w:r w:rsidRPr="00AE2A25">
        <w:rPr>
          <w:rFonts w:ascii="Times New Roman" w:hAnsi="Times New Roman" w:cs="Times New Roman"/>
          <w:sz w:val="24"/>
          <w:szCs w:val="24"/>
        </w:rPr>
        <w:t>approximate the position of a normal penis. The urethra needs to be rerouted through the phallus to allow urination through the reconstructed penis and the labia majora are united to form a scrotum into which prosthetic testicles are inserted.</w:t>
      </w:r>
    </w:p>
    <w:p w:rsidR="00454D68" w:rsidRPr="00AE2A25" w:rsidRDefault="00454D68" w:rsidP="00454D68">
      <w:pPr>
        <w:widowControl w:val="0"/>
        <w:autoSpaceDE w:val="0"/>
        <w:autoSpaceDN w:val="0"/>
        <w:adjustRightInd w:val="0"/>
        <w:ind w:firstLine="301"/>
        <w:rPr>
          <w:rFonts w:ascii="Times New Roman" w:hAnsi="Times New Roman" w:cs="Times New Roman"/>
          <w:sz w:val="24"/>
          <w:szCs w:val="24"/>
        </w:rPr>
      </w:pPr>
      <w:r w:rsidRPr="00AE2A25">
        <w:rPr>
          <w:rFonts w:ascii="Times New Roman" w:hAnsi="Times New Roman" w:cs="Times New Roman"/>
          <w:sz w:val="24"/>
          <w:szCs w:val="24"/>
        </w:rPr>
        <w:t>It is evident that sex and gender determination can be viewed in a number of ways whether as biology, lifestyle, accomplishment and/or ways of being. Recognition of the above view, exchanges the either/or gender dichotomy hypothesis for the notion of a natural continuum. Acceptance of diversity may herald a new, less dogmatic era, acknowledging that gender is only one part of sexuality inseparable from feelings of identity and desire. In closing it seems appropriate to quote again from one of Australia’s most politically active transgendered intellectuals “</w:t>
      </w:r>
      <w:r w:rsidRPr="00AE2A25">
        <w:rPr>
          <w:rFonts w:ascii="Times New Roman" w:hAnsi="Times New Roman" w:cs="Times New Roman"/>
          <w:i/>
          <w:sz w:val="24"/>
          <w:szCs w:val="24"/>
        </w:rPr>
        <w:t>People love people and gender is incidental</w:t>
      </w:r>
      <w:r w:rsidRPr="00AE2A25">
        <w:rPr>
          <w:rFonts w:ascii="Times New Roman" w:hAnsi="Times New Roman" w:cs="Times New Roman"/>
          <w:sz w:val="24"/>
          <w:szCs w:val="24"/>
        </w:rPr>
        <w:t>”</w:t>
      </w:r>
      <w:r w:rsidRPr="00AE2A25">
        <w:rPr>
          <w:rStyle w:val="FootnoteReference"/>
          <w:rFonts w:cs="Times New Roman"/>
          <w:sz w:val="24"/>
          <w:szCs w:val="24"/>
        </w:rPr>
        <w:footnoteReference w:id="4"/>
      </w:r>
      <w:r w:rsidRPr="00AE2A25">
        <w:rPr>
          <w:rFonts w:ascii="Times New Roman" w:hAnsi="Times New Roman" w:cs="Times New Roman"/>
          <w:sz w:val="24"/>
          <w:szCs w:val="24"/>
        </w:rPr>
        <w:t xml:space="preserve"> suggesting that sex can be an expression of love unrelated to reproduction and, conversely, that love can exist without sex (and often does).            </w:t>
      </w:r>
    </w:p>
    <w:p w:rsidR="00454D68" w:rsidRPr="00A04E84" w:rsidRDefault="00454D68" w:rsidP="00A04E84">
      <w:pPr>
        <w:spacing w:after="0" w:line="240" w:lineRule="auto"/>
        <w:rPr>
          <w:rFonts w:ascii="Times New Roman" w:eastAsia="Times New Roman" w:hAnsi="Times New Roman" w:cs="Times New Roman"/>
          <w:sz w:val="24"/>
          <w:szCs w:val="24"/>
          <w:lang w:eastAsia="en-AU"/>
        </w:rPr>
      </w:pPr>
    </w:p>
    <w:p w:rsidR="00A04E84" w:rsidRPr="00AE2A25" w:rsidRDefault="00A04E84" w:rsidP="00A04E84">
      <w:pPr>
        <w:rPr>
          <w:rFonts w:ascii="Times New Roman" w:hAnsi="Times New Roman" w:cs="Times New Roman"/>
          <w:sz w:val="24"/>
          <w:szCs w:val="24"/>
        </w:rPr>
      </w:pPr>
    </w:p>
    <w:sectPr w:rsidR="00A04E84" w:rsidRPr="00AE2A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843" w:rsidRDefault="00EA1843" w:rsidP="00454D68">
      <w:pPr>
        <w:spacing w:after="0" w:line="240" w:lineRule="auto"/>
      </w:pPr>
      <w:r>
        <w:separator/>
      </w:r>
    </w:p>
  </w:endnote>
  <w:endnote w:type="continuationSeparator" w:id="0">
    <w:p w:rsidR="00EA1843" w:rsidRDefault="00EA1843" w:rsidP="0045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843" w:rsidRDefault="00EA1843" w:rsidP="00454D68">
      <w:pPr>
        <w:spacing w:after="0" w:line="240" w:lineRule="auto"/>
      </w:pPr>
      <w:r>
        <w:separator/>
      </w:r>
    </w:p>
  </w:footnote>
  <w:footnote w:type="continuationSeparator" w:id="0">
    <w:p w:rsidR="00EA1843" w:rsidRDefault="00EA1843" w:rsidP="00454D68">
      <w:pPr>
        <w:spacing w:after="0" w:line="240" w:lineRule="auto"/>
      </w:pPr>
      <w:r>
        <w:continuationSeparator/>
      </w:r>
    </w:p>
  </w:footnote>
  <w:footnote w:id="1">
    <w:p w:rsidR="00454D68" w:rsidRPr="00EF748C" w:rsidRDefault="00454D68" w:rsidP="00454D68">
      <w:pPr>
        <w:pStyle w:val="FootnoteText"/>
        <w:rPr>
          <w:lang w:val="en-US"/>
        </w:rPr>
      </w:pPr>
      <w:r>
        <w:rPr>
          <w:rStyle w:val="FootnoteReference"/>
        </w:rPr>
        <w:footnoteRef/>
      </w:r>
      <w:r>
        <w:t xml:space="preserve"> </w:t>
      </w:r>
      <w:r>
        <w:rPr>
          <w:lang w:val="en-US"/>
        </w:rPr>
        <w:t xml:space="preserve">My Story: The Life and Loves of an XY Woman by Katherine Cummings. </w:t>
      </w:r>
      <w:proofErr w:type="spellStart"/>
      <w:r>
        <w:rPr>
          <w:lang w:val="en-US"/>
        </w:rPr>
        <w:t>Polare</w:t>
      </w:r>
      <w:proofErr w:type="spellEnd"/>
      <w:r>
        <w:rPr>
          <w:lang w:val="en-US"/>
        </w:rPr>
        <w:t>, Issue 41 page 27, 2001.</w:t>
      </w:r>
    </w:p>
  </w:footnote>
  <w:footnote w:id="2">
    <w:p w:rsidR="00454D68" w:rsidRPr="00E273F4" w:rsidRDefault="00454D68" w:rsidP="00454D68">
      <w:pPr>
        <w:pStyle w:val="FootnoteText"/>
        <w:rPr>
          <w:lang w:val="en-US"/>
        </w:rPr>
      </w:pPr>
      <w:r>
        <w:rPr>
          <w:rStyle w:val="FootnoteReference"/>
        </w:rPr>
        <w:footnoteRef/>
      </w:r>
      <w:r>
        <w:t xml:space="preserve"> Collected Works of Plato, 4</w:t>
      </w:r>
      <w:r w:rsidRPr="00E273F4">
        <w:rPr>
          <w:vertAlign w:val="superscript"/>
        </w:rPr>
        <w:t>th</w:t>
      </w:r>
      <w:r>
        <w:t xml:space="preserve"> edition (translated by Benjamin Jowett), Oxford University Press, 1953.</w:t>
      </w:r>
    </w:p>
  </w:footnote>
  <w:footnote w:id="3">
    <w:p w:rsidR="00454D68" w:rsidRPr="004265E6" w:rsidRDefault="00454D68" w:rsidP="00454D68">
      <w:pPr>
        <w:pStyle w:val="FootnoteText"/>
        <w:rPr>
          <w:lang w:val="en-US"/>
        </w:rPr>
      </w:pPr>
      <w:r>
        <w:rPr>
          <w:rStyle w:val="FootnoteReference"/>
        </w:rPr>
        <w:footnoteRef/>
      </w:r>
      <w:r>
        <w:t xml:space="preserve"> </w:t>
      </w:r>
      <w:r w:rsidRPr="004265E6">
        <w:rPr>
          <w:szCs w:val="18"/>
        </w:rPr>
        <w:t>Repeat polymorphisms refer to variations in the length of certain DNA segments where a few letters of the genetic code ‘stutters’ or repeats in the same order several times.</w:t>
      </w:r>
    </w:p>
  </w:footnote>
  <w:footnote w:id="4">
    <w:p w:rsidR="00454D68" w:rsidRPr="00257C87" w:rsidRDefault="00454D68" w:rsidP="00454D68">
      <w:pPr>
        <w:pStyle w:val="FootnoteText"/>
        <w:rPr>
          <w:lang w:val="en-US"/>
        </w:rPr>
      </w:pPr>
      <w:r>
        <w:rPr>
          <w:rStyle w:val="FootnoteReference"/>
        </w:rPr>
        <w:footnoteRef/>
      </w:r>
      <w:r>
        <w:t xml:space="preserve"> </w:t>
      </w:r>
      <w:r>
        <w:rPr>
          <w:lang w:val="en-US"/>
        </w:rPr>
        <w:t>Katherine’s Diary: The Story of a Transsexual by Katherine Cummings. William Heinemann page 213, 1992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0" w:legacyIndent="0"/>
      <w:lvlJc w:val="left"/>
      <w:pPr>
        <w:ind w:left="900" w:firstLine="0"/>
      </w:pPr>
    </w:lvl>
    <w:lvl w:ilvl="1">
      <w:start w:val="1"/>
      <w:numFmt w:val="decimal"/>
      <w:pStyle w:val="Heading2"/>
      <w:lvlText w:val="%1.%2"/>
      <w:legacy w:legacy="1" w:legacySpace="0" w:legacyIndent="0"/>
      <w:lvlJc w:val="left"/>
      <w:pPr>
        <w:ind w:left="900" w:firstLine="0"/>
      </w:pPr>
    </w:lvl>
    <w:lvl w:ilvl="2">
      <w:start w:val="1"/>
      <w:numFmt w:val="decimal"/>
      <w:pStyle w:val="Heading3"/>
      <w:lvlText w:val="%1.%2.%3"/>
      <w:legacy w:legacy="1" w:legacySpace="0" w:legacyIndent="0"/>
      <w:lvlJc w:val="left"/>
      <w:pPr>
        <w:ind w:left="900" w:firstLine="0"/>
      </w:pPr>
    </w:lvl>
    <w:lvl w:ilvl="3">
      <w:start w:val="1"/>
      <w:numFmt w:val="decimal"/>
      <w:pStyle w:val="Heading4"/>
      <w:lvlText w:val="%1.%2.%3.%4"/>
      <w:legacy w:legacy="1" w:legacySpace="0" w:legacyIndent="0"/>
      <w:lvlJc w:val="left"/>
      <w:pPr>
        <w:ind w:left="1000" w:firstLine="0"/>
      </w:p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09C1862"/>
    <w:lvl w:ilvl="0">
      <w:numFmt w:val="decimal"/>
      <w:lvlText w:val="*"/>
      <w:lvlJc w:val="left"/>
    </w:lvl>
  </w:abstractNum>
  <w:num w:numId="1">
    <w:abstractNumId w:val="0"/>
  </w:num>
  <w:num w:numId="2">
    <w:abstractNumId w:val="1"/>
    <w:lvlOverride w:ilvl="0">
      <w:lvl w:ilvl="0">
        <w:start w:val="1"/>
        <w:numFmt w:val="bullet"/>
        <w:lvlText w:val="–"/>
        <w:legacy w:legacy="1" w:legacySpace="0" w:legacyIndent="200"/>
        <w:lvlJc w:val="left"/>
        <w:pPr>
          <w:ind w:left="200" w:hanging="200"/>
        </w:pPr>
        <w:rPr>
          <w:rFonts w:ascii="Times New Roman" w:hAnsi="Times New Roman"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84"/>
    <w:rsid w:val="00454D68"/>
    <w:rsid w:val="00483BD9"/>
    <w:rsid w:val="00494E38"/>
    <w:rsid w:val="009C6BB5"/>
    <w:rsid w:val="00A04E84"/>
    <w:rsid w:val="00AE2A25"/>
    <w:rsid w:val="00B96EF1"/>
    <w:rsid w:val="00C47742"/>
    <w:rsid w:val="00EA184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87B73-5440-4C77-ABE1-C43F70AE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54D68"/>
    <w:pPr>
      <w:keepNext/>
      <w:keepLines/>
      <w:numPr>
        <w:numId w:val="1"/>
      </w:numPr>
      <w:spacing w:before="520" w:after="260" w:line="300" w:lineRule="exact"/>
      <w:ind w:hanging="900"/>
      <w:outlineLvl w:val="0"/>
    </w:pPr>
    <w:rPr>
      <w:rFonts w:ascii="Times New Roman" w:eastAsia="Times New Roman" w:hAnsi="Times New Roman" w:cs="Times New Roman"/>
      <w:b/>
      <w:caps/>
      <w:kern w:val="22"/>
      <w:sz w:val="26"/>
      <w:szCs w:val="20"/>
      <w:lang w:val="en-GB" w:eastAsia="en-AU"/>
    </w:rPr>
  </w:style>
  <w:style w:type="paragraph" w:styleId="Heading2">
    <w:name w:val="heading 2"/>
    <w:basedOn w:val="Normal"/>
    <w:next w:val="Normal"/>
    <w:link w:val="Heading2Char"/>
    <w:qFormat/>
    <w:rsid w:val="00454D68"/>
    <w:pPr>
      <w:keepNext/>
      <w:keepLines/>
      <w:numPr>
        <w:ilvl w:val="1"/>
        <w:numId w:val="1"/>
      </w:numPr>
      <w:spacing w:before="260" w:after="260" w:line="300" w:lineRule="exact"/>
      <w:ind w:hanging="900"/>
      <w:outlineLvl w:val="1"/>
    </w:pPr>
    <w:rPr>
      <w:rFonts w:ascii="Times New Roman" w:eastAsia="Times New Roman" w:hAnsi="Times New Roman" w:cs="Times New Roman"/>
      <w:b/>
      <w:sz w:val="26"/>
      <w:szCs w:val="20"/>
      <w:lang w:val="en-GB" w:eastAsia="en-AU"/>
    </w:rPr>
  </w:style>
  <w:style w:type="paragraph" w:styleId="Heading3">
    <w:name w:val="heading 3"/>
    <w:basedOn w:val="Normal"/>
    <w:next w:val="Normal"/>
    <w:link w:val="Heading3Char"/>
    <w:qFormat/>
    <w:rsid w:val="00454D68"/>
    <w:pPr>
      <w:keepNext/>
      <w:keepLines/>
      <w:numPr>
        <w:ilvl w:val="2"/>
        <w:numId w:val="1"/>
      </w:numPr>
      <w:spacing w:before="260" w:after="260" w:line="260" w:lineRule="exact"/>
      <w:ind w:hanging="900"/>
      <w:outlineLvl w:val="2"/>
    </w:pPr>
    <w:rPr>
      <w:rFonts w:ascii="Times New Roman" w:eastAsia="Times New Roman" w:hAnsi="Times New Roman" w:cs="Times New Roman"/>
      <w:b/>
      <w:kern w:val="22"/>
      <w:szCs w:val="20"/>
      <w:lang w:val="en-GB" w:eastAsia="en-AU"/>
    </w:rPr>
  </w:style>
  <w:style w:type="paragraph" w:styleId="Heading4">
    <w:name w:val="heading 4"/>
    <w:basedOn w:val="Normal"/>
    <w:next w:val="Normal"/>
    <w:link w:val="Heading4Char"/>
    <w:qFormat/>
    <w:rsid w:val="00454D68"/>
    <w:pPr>
      <w:keepNext/>
      <w:keepLines/>
      <w:numPr>
        <w:ilvl w:val="3"/>
        <w:numId w:val="1"/>
      </w:numPr>
      <w:spacing w:before="260" w:after="0" w:line="260" w:lineRule="exact"/>
      <w:ind w:hanging="1000"/>
      <w:outlineLvl w:val="3"/>
    </w:pPr>
    <w:rPr>
      <w:rFonts w:ascii="Times New Roman" w:eastAsia="Times New Roman" w:hAnsi="Times New Roman" w:cs="Times New Roman"/>
      <w:b/>
      <w:kern w:val="20"/>
      <w:szCs w:val="20"/>
      <w:lang w:val="en-GB" w:eastAsia="en-AU"/>
    </w:rPr>
  </w:style>
  <w:style w:type="paragraph" w:styleId="Heading5">
    <w:name w:val="heading 5"/>
    <w:basedOn w:val="Heading4"/>
    <w:next w:val="Normal"/>
    <w:link w:val="Heading5Char"/>
    <w:qFormat/>
    <w:rsid w:val="00454D68"/>
    <w:pPr>
      <w:numPr>
        <w:ilvl w:val="4"/>
      </w:numPr>
      <w:outlineLvl w:val="4"/>
    </w:pPr>
  </w:style>
  <w:style w:type="paragraph" w:styleId="Heading6">
    <w:name w:val="heading 6"/>
    <w:basedOn w:val="Heading4"/>
    <w:next w:val="Normal"/>
    <w:link w:val="Heading6Char"/>
    <w:qFormat/>
    <w:rsid w:val="00454D68"/>
    <w:pPr>
      <w:numPr>
        <w:ilvl w:val="5"/>
      </w:numPr>
      <w:outlineLvl w:val="5"/>
    </w:pPr>
  </w:style>
  <w:style w:type="paragraph" w:styleId="Heading7">
    <w:name w:val="heading 7"/>
    <w:basedOn w:val="Heading4"/>
    <w:next w:val="Normal"/>
    <w:link w:val="Heading7Char"/>
    <w:qFormat/>
    <w:rsid w:val="00454D68"/>
    <w:pPr>
      <w:numPr>
        <w:ilvl w:val="6"/>
      </w:numPr>
      <w:outlineLvl w:val="6"/>
    </w:pPr>
  </w:style>
  <w:style w:type="paragraph" w:styleId="Heading8">
    <w:name w:val="heading 8"/>
    <w:basedOn w:val="Heading4"/>
    <w:next w:val="Normal"/>
    <w:link w:val="Heading8Char"/>
    <w:qFormat/>
    <w:rsid w:val="00454D68"/>
    <w:pPr>
      <w:numPr>
        <w:ilvl w:val="7"/>
      </w:numPr>
      <w:outlineLvl w:val="7"/>
    </w:pPr>
  </w:style>
  <w:style w:type="paragraph" w:styleId="Heading9">
    <w:name w:val="heading 9"/>
    <w:basedOn w:val="Heading4"/>
    <w:next w:val="Normal"/>
    <w:link w:val="Heading9Char"/>
    <w:qFormat/>
    <w:rsid w:val="00454D68"/>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D68"/>
    <w:rPr>
      <w:rFonts w:ascii="Times New Roman" w:eastAsia="Times New Roman" w:hAnsi="Times New Roman" w:cs="Times New Roman"/>
      <w:b/>
      <w:caps/>
      <w:kern w:val="22"/>
      <w:sz w:val="26"/>
      <w:szCs w:val="20"/>
      <w:lang w:val="en-GB" w:eastAsia="en-AU"/>
    </w:rPr>
  </w:style>
  <w:style w:type="character" w:customStyle="1" w:styleId="Heading2Char">
    <w:name w:val="Heading 2 Char"/>
    <w:basedOn w:val="DefaultParagraphFont"/>
    <w:link w:val="Heading2"/>
    <w:rsid w:val="00454D68"/>
    <w:rPr>
      <w:rFonts w:ascii="Times New Roman" w:eastAsia="Times New Roman" w:hAnsi="Times New Roman" w:cs="Times New Roman"/>
      <w:b/>
      <w:sz w:val="26"/>
      <w:szCs w:val="20"/>
      <w:lang w:val="en-GB" w:eastAsia="en-AU"/>
    </w:rPr>
  </w:style>
  <w:style w:type="character" w:customStyle="1" w:styleId="Heading3Char">
    <w:name w:val="Heading 3 Char"/>
    <w:basedOn w:val="DefaultParagraphFont"/>
    <w:link w:val="Heading3"/>
    <w:rsid w:val="00454D68"/>
    <w:rPr>
      <w:rFonts w:ascii="Times New Roman" w:eastAsia="Times New Roman" w:hAnsi="Times New Roman" w:cs="Times New Roman"/>
      <w:b/>
      <w:kern w:val="22"/>
      <w:szCs w:val="20"/>
      <w:lang w:val="en-GB" w:eastAsia="en-AU"/>
    </w:rPr>
  </w:style>
  <w:style w:type="character" w:customStyle="1" w:styleId="Heading4Char">
    <w:name w:val="Heading 4 Char"/>
    <w:basedOn w:val="DefaultParagraphFont"/>
    <w:link w:val="Heading4"/>
    <w:rsid w:val="00454D68"/>
    <w:rPr>
      <w:rFonts w:ascii="Times New Roman" w:eastAsia="Times New Roman" w:hAnsi="Times New Roman" w:cs="Times New Roman"/>
      <w:b/>
      <w:kern w:val="20"/>
      <w:szCs w:val="20"/>
      <w:lang w:val="en-GB" w:eastAsia="en-AU"/>
    </w:rPr>
  </w:style>
  <w:style w:type="character" w:customStyle="1" w:styleId="Heading5Char">
    <w:name w:val="Heading 5 Char"/>
    <w:basedOn w:val="DefaultParagraphFont"/>
    <w:link w:val="Heading5"/>
    <w:rsid w:val="00454D68"/>
    <w:rPr>
      <w:rFonts w:ascii="Times New Roman" w:eastAsia="Times New Roman" w:hAnsi="Times New Roman" w:cs="Times New Roman"/>
      <w:b/>
      <w:kern w:val="20"/>
      <w:szCs w:val="20"/>
      <w:lang w:val="en-GB" w:eastAsia="en-AU"/>
    </w:rPr>
  </w:style>
  <w:style w:type="character" w:customStyle="1" w:styleId="Heading6Char">
    <w:name w:val="Heading 6 Char"/>
    <w:basedOn w:val="DefaultParagraphFont"/>
    <w:link w:val="Heading6"/>
    <w:rsid w:val="00454D68"/>
    <w:rPr>
      <w:rFonts w:ascii="Times New Roman" w:eastAsia="Times New Roman" w:hAnsi="Times New Roman" w:cs="Times New Roman"/>
      <w:b/>
      <w:kern w:val="20"/>
      <w:szCs w:val="20"/>
      <w:lang w:val="en-GB" w:eastAsia="en-AU"/>
    </w:rPr>
  </w:style>
  <w:style w:type="character" w:customStyle="1" w:styleId="Heading7Char">
    <w:name w:val="Heading 7 Char"/>
    <w:basedOn w:val="DefaultParagraphFont"/>
    <w:link w:val="Heading7"/>
    <w:rsid w:val="00454D68"/>
    <w:rPr>
      <w:rFonts w:ascii="Times New Roman" w:eastAsia="Times New Roman" w:hAnsi="Times New Roman" w:cs="Times New Roman"/>
      <w:b/>
      <w:kern w:val="20"/>
      <w:szCs w:val="20"/>
      <w:lang w:val="en-GB" w:eastAsia="en-AU"/>
    </w:rPr>
  </w:style>
  <w:style w:type="character" w:customStyle="1" w:styleId="Heading8Char">
    <w:name w:val="Heading 8 Char"/>
    <w:basedOn w:val="DefaultParagraphFont"/>
    <w:link w:val="Heading8"/>
    <w:rsid w:val="00454D68"/>
    <w:rPr>
      <w:rFonts w:ascii="Times New Roman" w:eastAsia="Times New Roman" w:hAnsi="Times New Roman" w:cs="Times New Roman"/>
      <w:b/>
      <w:kern w:val="20"/>
      <w:szCs w:val="20"/>
      <w:lang w:val="en-GB" w:eastAsia="en-AU"/>
    </w:rPr>
  </w:style>
  <w:style w:type="character" w:customStyle="1" w:styleId="Heading9Char">
    <w:name w:val="Heading 9 Char"/>
    <w:basedOn w:val="DefaultParagraphFont"/>
    <w:link w:val="Heading9"/>
    <w:rsid w:val="00454D68"/>
    <w:rPr>
      <w:rFonts w:ascii="Times New Roman" w:eastAsia="Times New Roman" w:hAnsi="Times New Roman" w:cs="Times New Roman"/>
      <w:b/>
      <w:kern w:val="20"/>
      <w:szCs w:val="20"/>
      <w:lang w:val="en-GB" w:eastAsia="en-AU"/>
    </w:rPr>
  </w:style>
  <w:style w:type="paragraph" w:styleId="FootnoteText">
    <w:name w:val="footnote text"/>
    <w:basedOn w:val="Normal"/>
    <w:link w:val="FootnoteTextChar"/>
    <w:semiHidden/>
    <w:rsid w:val="00454D68"/>
    <w:pPr>
      <w:spacing w:after="0" w:line="220" w:lineRule="exact"/>
      <w:ind w:left="240" w:hanging="240"/>
      <w:jc w:val="both"/>
    </w:pPr>
    <w:rPr>
      <w:rFonts w:ascii="Times New Roman" w:eastAsia="Times New Roman" w:hAnsi="Times New Roman" w:cs="Times New Roman"/>
      <w:sz w:val="18"/>
      <w:szCs w:val="20"/>
      <w:lang w:val="en-GB" w:eastAsia="en-AU"/>
    </w:rPr>
  </w:style>
  <w:style w:type="character" w:customStyle="1" w:styleId="FootnoteTextChar">
    <w:name w:val="Footnote Text Char"/>
    <w:basedOn w:val="DefaultParagraphFont"/>
    <w:link w:val="FootnoteText"/>
    <w:semiHidden/>
    <w:rsid w:val="00454D68"/>
    <w:rPr>
      <w:rFonts w:ascii="Times New Roman" w:eastAsia="Times New Roman" w:hAnsi="Times New Roman" w:cs="Times New Roman"/>
      <w:sz w:val="18"/>
      <w:szCs w:val="20"/>
      <w:lang w:val="en-GB" w:eastAsia="en-AU"/>
    </w:rPr>
  </w:style>
  <w:style w:type="character" w:styleId="FootnoteReference">
    <w:name w:val="footnote reference"/>
    <w:basedOn w:val="DefaultParagraphFont"/>
    <w:semiHidden/>
    <w:rsid w:val="00454D68"/>
    <w:rPr>
      <w:rFonts w:ascii="Times New Roman" w:hAnsi="Times New Roman"/>
      <w:sz w:val="18"/>
      <w:vertAlign w:val="superscript"/>
    </w:rPr>
  </w:style>
  <w:style w:type="paragraph" w:customStyle="1" w:styleId="LISTdash">
    <w:name w:val="LISTdash"/>
    <w:basedOn w:val="Normal"/>
    <w:rsid w:val="00454D68"/>
    <w:pPr>
      <w:spacing w:after="0" w:line="260" w:lineRule="exact"/>
      <w:ind w:left="300" w:hanging="300"/>
    </w:pPr>
    <w:rPr>
      <w:rFonts w:ascii="Times New Roman" w:eastAsia="Times New Roman" w:hAnsi="Times New Roman" w:cs="Times New Roman"/>
      <w:szCs w:val="20"/>
      <w:lang w:val="en-GB" w:eastAsia="en-AU"/>
    </w:rPr>
  </w:style>
  <w:style w:type="character" w:styleId="Hyperlink">
    <w:name w:val="Hyperlink"/>
    <w:basedOn w:val="DefaultParagraphFont"/>
    <w:rsid w:val="00454D68"/>
    <w:rPr>
      <w:color w:val="0000FF"/>
      <w:u w:val="single"/>
    </w:rPr>
  </w:style>
  <w:style w:type="character" w:styleId="FollowedHyperlink">
    <w:name w:val="FollowedHyperlink"/>
    <w:basedOn w:val="DefaultParagraphFont"/>
    <w:rsid w:val="00454D68"/>
    <w:rPr>
      <w:color w:val="800080"/>
      <w:u w:val="single"/>
    </w:rPr>
  </w:style>
  <w:style w:type="paragraph" w:styleId="Footer">
    <w:name w:val="footer"/>
    <w:basedOn w:val="Normal"/>
    <w:link w:val="FooterChar"/>
    <w:rsid w:val="00454D68"/>
    <w:pPr>
      <w:tabs>
        <w:tab w:val="center" w:pos="4320"/>
        <w:tab w:val="right" w:pos="8640"/>
      </w:tabs>
      <w:spacing w:after="0" w:line="260" w:lineRule="exact"/>
      <w:ind w:firstLine="300"/>
      <w:jc w:val="both"/>
    </w:pPr>
    <w:rPr>
      <w:rFonts w:ascii="Times New Roman" w:eastAsia="Times New Roman" w:hAnsi="Times New Roman" w:cs="Times New Roman"/>
      <w:szCs w:val="20"/>
      <w:lang w:val="en-GB" w:eastAsia="en-AU"/>
    </w:rPr>
  </w:style>
  <w:style w:type="character" w:customStyle="1" w:styleId="FooterChar">
    <w:name w:val="Footer Char"/>
    <w:basedOn w:val="DefaultParagraphFont"/>
    <w:link w:val="Footer"/>
    <w:rsid w:val="00454D68"/>
    <w:rPr>
      <w:rFonts w:ascii="Times New Roman" w:eastAsia="Times New Roman" w:hAnsi="Times New Roman" w:cs="Times New Roman"/>
      <w:szCs w:val="20"/>
      <w:lang w:val="en-GB" w:eastAsia="en-AU"/>
    </w:rPr>
  </w:style>
  <w:style w:type="character" w:styleId="PageNumber">
    <w:name w:val="page number"/>
    <w:basedOn w:val="DefaultParagraphFont"/>
    <w:rsid w:val="00454D68"/>
  </w:style>
  <w:style w:type="table" w:styleId="TableGrid">
    <w:name w:val="Table Grid"/>
    <w:basedOn w:val="TableNormal"/>
    <w:rsid w:val="00454D6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7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57047">
      <w:bodyDiv w:val="1"/>
      <w:marLeft w:val="0"/>
      <w:marRight w:val="0"/>
      <w:marTop w:val="0"/>
      <w:marBottom w:val="0"/>
      <w:divBdr>
        <w:top w:val="none" w:sz="0" w:space="0" w:color="auto"/>
        <w:left w:val="none" w:sz="0" w:space="0" w:color="auto"/>
        <w:bottom w:val="none" w:sz="0" w:space="0" w:color="auto"/>
        <w:right w:val="none" w:sz="0" w:space="0" w:color="auto"/>
      </w:divBdr>
      <w:divsChild>
        <w:div w:id="1577517359">
          <w:marLeft w:val="0"/>
          <w:marRight w:val="0"/>
          <w:marTop w:val="0"/>
          <w:marBottom w:val="0"/>
          <w:divBdr>
            <w:top w:val="none" w:sz="0" w:space="0" w:color="auto"/>
            <w:left w:val="none" w:sz="0" w:space="0" w:color="auto"/>
            <w:bottom w:val="none" w:sz="0" w:space="0" w:color="auto"/>
            <w:right w:val="none" w:sz="0" w:space="0" w:color="auto"/>
          </w:divBdr>
        </w:div>
        <w:div w:id="1904410801">
          <w:marLeft w:val="0"/>
          <w:marRight w:val="0"/>
          <w:marTop w:val="0"/>
          <w:marBottom w:val="0"/>
          <w:divBdr>
            <w:top w:val="none" w:sz="0" w:space="0" w:color="auto"/>
            <w:left w:val="none" w:sz="0" w:space="0" w:color="auto"/>
            <w:bottom w:val="none" w:sz="0" w:space="0" w:color="auto"/>
            <w:right w:val="none" w:sz="0" w:space="0" w:color="auto"/>
          </w:divBdr>
        </w:div>
        <w:div w:id="253175760">
          <w:marLeft w:val="0"/>
          <w:marRight w:val="0"/>
          <w:marTop w:val="0"/>
          <w:marBottom w:val="0"/>
          <w:divBdr>
            <w:top w:val="none" w:sz="0" w:space="0" w:color="auto"/>
            <w:left w:val="none" w:sz="0" w:space="0" w:color="auto"/>
            <w:bottom w:val="none" w:sz="0" w:space="0" w:color="auto"/>
            <w:right w:val="none" w:sz="0" w:space="0" w:color="auto"/>
          </w:divBdr>
        </w:div>
        <w:div w:id="1499419693">
          <w:marLeft w:val="0"/>
          <w:marRight w:val="0"/>
          <w:marTop w:val="0"/>
          <w:marBottom w:val="0"/>
          <w:divBdr>
            <w:top w:val="none" w:sz="0" w:space="0" w:color="auto"/>
            <w:left w:val="none" w:sz="0" w:space="0" w:color="auto"/>
            <w:bottom w:val="none" w:sz="0" w:space="0" w:color="auto"/>
            <w:right w:val="none" w:sz="0" w:space="0" w:color="auto"/>
          </w:divBdr>
        </w:div>
        <w:div w:id="1515460639">
          <w:marLeft w:val="0"/>
          <w:marRight w:val="0"/>
          <w:marTop w:val="0"/>
          <w:marBottom w:val="0"/>
          <w:divBdr>
            <w:top w:val="none" w:sz="0" w:space="0" w:color="auto"/>
            <w:left w:val="none" w:sz="0" w:space="0" w:color="auto"/>
            <w:bottom w:val="none" w:sz="0" w:space="0" w:color="auto"/>
            <w:right w:val="none" w:sz="0" w:space="0" w:color="auto"/>
          </w:divBdr>
        </w:div>
        <w:div w:id="2102530016">
          <w:marLeft w:val="0"/>
          <w:marRight w:val="0"/>
          <w:marTop w:val="0"/>
          <w:marBottom w:val="0"/>
          <w:divBdr>
            <w:top w:val="none" w:sz="0" w:space="0" w:color="auto"/>
            <w:left w:val="none" w:sz="0" w:space="0" w:color="auto"/>
            <w:bottom w:val="none" w:sz="0" w:space="0" w:color="auto"/>
            <w:right w:val="none" w:sz="0" w:space="0" w:color="auto"/>
          </w:divBdr>
        </w:div>
        <w:div w:id="473136168">
          <w:marLeft w:val="0"/>
          <w:marRight w:val="0"/>
          <w:marTop w:val="0"/>
          <w:marBottom w:val="0"/>
          <w:divBdr>
            <w:top w:val="none" w:sz="0" w:space="0" w:color="auto"/>
            <w:left w:val="none" w:sz="0" w:space="0" w:color="auto"/>
            <w:bottom w:val="none" w:sz="0" w:space="0" w:color="auto"/>
            <w:right w:val="none" w:sz="0" w:space="0" w:color="auto"/>
          </w:divBdr>
        </w:div>
        <w:div w:id="816537479">
          <w:marLeft w:val="0"/>
          <w:marRight w:val="0"/>
          <w:marTop w:val="0"/>
          <w:marBottom w:val="0"/>
          <w:divBdr>
            <w:top w:val="none" w:sz="0" w:space="0" w:color="auto"/>
            <w:left w:val="none" w:sz="0" w:space="0" w:color="auto"/>
            <w:bottom w:val="none" w:sz="0" w:space="0" w:color="auto"/>
            <w:right w:val="none" w:sz="0" w:space="0" w:color="auto"/>
          </w:divBdr>
        </w:div>
        <w:div w:id="1741098871">
          <w:marLeft w:val="0"/>
          <w:marRight w:val="0"/>
          <w:marTop w:val="0"/>
          <w:marBottom w:val="0"/>
          <w:divBdr>
            <w:top w:val="none" w:sz="0" w:space="0" w:color="auto"/>
            <w:left w:val="none" w:sz="0" w:space="0" w:color="auto"/>
            <w:bottom w:val="none" w:sz="0" w:space="0" w:color="auto"/>
            <w:right w:val="none" w:sz="0" w:space="0" w:color="auto"/>
          </w:divBdr>
        </w:div>
        <w:div w:id="1499271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Macquarie University</Company>
  <LinksUpToDate>false</LinksUpToDate>
  <CharactersWithSpaces>25717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Luca Badini</cp:lastModifiedBy>
  <cp:revision>2</cp:revision>
  <cp:lastPrinted>2018-12-13T14:10:00Z</cp:lastPrinted>
  <dcterms:created xsi:type="dcterms:W3CDTF">2018-12-13T14:42:00Z</dcterms:created>
  <dcterms:modified xsi:type="dcterms:W3CDTF">2018-12-13T14:42:00Z</dcterms:modified>
</cp:coreProperties>
</file>